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г.Мегион                                                                                             «___»____________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представляемая </w:t>
      </w:r>
      <w:r w:rsidR="00205D3A">
        <w:rPr>
          <w:rFonts w:ascii="Times New Roman" w:hAnsi="Times New Roman" w:cs="Times New Roman"/>
          <w:sz w:val="24"/>
          <w:szCs w:val="24"/>
        </w:rPr>
        <w:t>управлением экономической политики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в лице __________________, действующего на основании Положения о </w:t>
      </w:r>
      <w:r w:rsidR="00205D3A">
        <w:rPr>
          <w:rFonts w:ascii="Times New Roman" w:hAnsi="Times New Roman" w:cs="Times New Roman"/>
          <w:sz w:val="24"/>
          <w:szCs w:val="24"/>
        </w:rPr>
        <w:t>управлении экономической политики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Мегиона, утвержденного распоряжением администрации города от ______№______, руководствуясь Положением о размещении нестационарных торговых объектов на территории </w:t>
      </w:r>
      <w:r w:rsidR="00205D3A" w:rsidRPr="00FA62D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от </w:t>
      </w:r>
      <w:r w:rsidR="00205D3A">
        <w:rPr>
          <w:rFonts w:ascii="Times New Roman" w:hAnsi="Times New Roman" w:cs="Times New Roman"/>
          <w:sz w:val="24"/>
          <w:szCs w:val="24"/>
        </w:rPr>
        <w:t>26.07.2018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 №</w:t>
      </w:r>
      <w:r w:rsidR="00205D3A">
        <w:rPr>
          <w:rFonts w:ascii="Times New Roman" w:hAnsi="Times New Roman" w:cs="Times New Roman"/>
          <w:sz w:val="24"/>
          <w:szCs w:val="24"/>
        </w:rPr>
        <w:t>1523 (с изменением)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, именуемая в дальнейшем «Уполномоченный орган» с одной стороны, и </w:t>
      </w:r>
      <w:r w:rsidR="00205D3A">
        <w:rPr>
          <w:rFonts w:ascii="Times New Roman" w:hAnsi="Times New Roman" w:cs="Times New Roman"/>
          <w:sz w:val="24"/>
          <w:szCs w:val="24"/>
        </w:rPr>
        <w:t>___________________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1.1.Уполномоченный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1.2.Объект имеет следующие характеристики: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550F9F" w:rsidRPr="00550F9F">
        <w:rPr>
          <w:rFonts w:ascii="Times New Roman" w:hAnsi="Times New Roman" w:cs="Times New Roman"/>
          <w:i/>
          <w:sz w:val="24"/>
          <w:szCs w:val="24"/>
          <w:u w:val="single"/>
        </w:rPr>
        <w:t>поселок городского типа Высокий, пересечение улиц Гагарина Ленина</w:t>
      </w:r>
      <w:r w:rsidRPr="000034D6">
        <w:rPr>
          <w:rFonts w:ascii="Times New Roman" w:hAnsi="Times New Roman" w:cs="Times New Roman"/>
          <w:sz w:val="24"/>
          <w:szCs w:val="24"/>
        </w:rPr>
        <w:t>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8820B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00E4C" w:rsidRPr="00900E4C">
        <w:rPr>
          <w:rFonts w:ascii="Times New Roman" w:hAnsi="Times New Roman" w:cs="Times New Roman"/>
          <w:sz w:val="24"/>
          <w:szCs w:val="24"/>
          <w:u w:val="single"/>
        </w:rPr>
        <w:t>становочный комплекс с</w:t>
      </w:r>
      <w:r w:rsidR="00900E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26A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7C0B33">
        <w:rPr>
          <w:rFonts w:ascii="Times New Roman" w:hAnsi="Times New Roman" w:cs="Times New Roman"/>
          <w:i/>
          <w:sz w:val="24"/>
          <w:szCs w:val="24"/>
          <w:u w:val="single"/>
        </w:rPr>
        <w:t>вильон</w:t>
      </w:r>
      <w:r w:rsidR="00900E4C">
        <w:rPr>
          <w:rFonts w:ascii="Times New Roman" w:hAnsi="Times New Roman" w:cs="Times New Roman"/>
          <w:i/>
          <w:sz w:val="24"/>
          <w:szCs w:val="24"/>
          <w:u w:val="single"/>
        </w:rPr>
        <w:t>ом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</w:t>
      </w:r>
      <w:r w:rsidR="00550F9F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</w:t>
      </w:r>
      <w:r w:rsidR="008820BD">
        <w:rPr>
          <w:rFonts w:ascii="Times New Roman" w:hAnsi="Times New Roman" w:cs="Times New Roman"/>
          <w:sz w:val="24"/>
          <w:szCs w:val="24"/>
          <w:u w:val="single"/>
        </w:rPr>
        <w:t>продовольственные товары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550F9F">
        <w:rPr>
          <w:rFonts w:ascii="Times New Roman" w:hAnsi="Times New Roman" w:cs="Times New Roman"/>
          <w:sz w:val="24"/>
          <w:szCs w:val="24"/>
          <w:u w:val="single"/>
        </w:rPr>
        <w:t>50</w:t>
      </w:r>
      <w:bookmarkStart w:id="1" w:name="_GoBack"/>
      <w:bookmarkEnd w:id="1"/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1.3.Срок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319" w:rsidRPr="00732F35" w:rsidRDefault="00AA331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3319" w:rsidRDefault="00AA331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5D3A" w:rsidRDefault="00205D3A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5D3A" w:rsidRPr="00732F35" w:rsidRDefault="00205D3A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2.1.Уполномоченный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2.1.1.На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2.2.1.Предоставляет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2.3.Хозяйствующий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2.4.Хозяйствующий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2.4.2.Своевременно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2.4.3.При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2.4.5.Выполнять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2.4.6.Не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2.4.8.Не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 и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3.1.Цена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_________________(_____________________)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_________________(_____________________)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3.2.Сумма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3.3.Оплата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КБК (обязательное поле 104): 040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1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09080 04 0000 120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3.6.Неиспользование Объекта на месте размещения не освобождает   Хозяйствующий субъект от уплаты платежей.</w:t>
      </w:r>
    </w:p>
    <w:p w:rsidR="00176B1B" w:rsidRPr="000034D6" w:rsidRDefault="00176B1B" w:rsidP="001D4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3.7.</w:t>
      </w:r>
      <w:r w:rsidR="001D4E84">
        <w:rPr>
          <w:rFonts w:ascii="Times New Roman" w:hAnsi="Times New Roman" w:cs="Times New Roman"/>
          <w:sz w:val="24"/>
          <w:szCs w:val="24"/>
        </w:rPr>
        <w:t>Пересмотр цены договора на размещение Объекта, не производится.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4.3.Привлечение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4.4.Стороны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5.1.Любые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5.2.Условия договора, которые не могут быть изменены сторонами на протяжении всего действия договора: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перечисленные в пункте 1.2 договора;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лицу;</w:t>
      </w:r>
    </w:p>
    <w:p w:rsid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lastRenderedPageBreak/>
        <w:t>цена договора.</w:t>
      </w:r>
    </w:p>
    <w:p w:rsidR="00176B1B" w:rsidRPr="000034D6" w:rsidRDefault="00176B1B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5.3.Настоящий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5.4.Соглашение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5.5.Хозяйствующий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5.6.Договор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5D303F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</w:t>
      </w:r>
      <w:r w:rsidR="005D30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6.1.Все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6.3.Взаимоотношения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2F038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205D3A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</w:t>
            </w:r>
            <w:r w:rsidR="00A16A69"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</w:t>
            </w:r>
            <w:r w:rsidR="00AA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A331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989" w:rsidRDefault="00AA331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19">
              <w:rPr>
                <w:rFonts w:ascii="Times New Roman" w:hAnsi="Times New Roman" w:cs="Times New Roman"/>
                <w:sz w:val="24"/>
                <w:szCs w:val="24"/>
              </w:rPr>
              <w:t>«____»__________20______ год</w:t>
            </w:r>
            <w:r w:rsidR="00F27989"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247F4"/>
    <w:rsid w:val="00135AE4"/>
    <w:rsid w:val="00176B1B"/>
    <w:rsid w:val="001D4E84"/>
    <w:rsid w:val="001E651F"/>
    <w:rsid w:val="001F35D6"/>
    <w:rsid w:val="00205D3A"/>
    <w:rsid w:val="002F038C"/>
    <w:rsid w:val="00396672"/>
    <w:rsid w:val="003B4905"/>
    <w:rsid w:val="003D3815"/>
    <w:rsid w:val="0044356E"/>
    <w:rsid w:val="004F1898"/>
    <w:rsid w:val="00504FAD"/>
    <w:rsid w:val="00526A75"/>
    <w:rsid w:val="00533DD8"/>
    <w:rsid w:val="00550F9F"/>
    <w:rsid w:val="005A633A"/>
    <w:rsid w:val="005D303F"/>
    <w:rsid w:val="00615563"/>
    <w:rsid w:val="00703E03"/>
    <w:rsid w:val="00732F35"/>
    <w:rsid w:val="00755971"/>
    <w:rsid w:val="007C0B33"/>
    <w:rsid w:val="00826CB9"/>
    <w:rsid w:val="008426A0"/>
    <w:rsid w:val="00854AE0"/>
    <w:rsid w:val="0086772E"/>
    <w:rsid w:val="008820BD"/>
    <w:rsid w:val="00900E4C"/>
    <w:rsid w:val="009325BC"/>
    <w:rsid w:val="00955E45"/>
    <w:rsid w:val="00956B8C"/>
    <w:rsid w:val="009975E6"/>
    <w:rsid w:val="009F0703"/>
    <w:rsid w:val="00A16A69"/>
    <w:rsid w:val="00A86A40"/>
    <w:rsid w:val="00AA0C86"/>
    <w:rsid w:val="00AA3319"/>
    <w:rsid w:val="00BA3971"/>
    <w:rsid w:val="00C67EF5"/>
    <w:rsid w:val="00D42348"/>
    <w:rsid w:val="00D57D7F"/>
    <w:rsid w:val="00D81220"/>
    <w:rsid w:val="00D85DF2"/>
    <w:rsid w:val="00DC0FD5"/>
    <w:rsid w:val="00DF536D"/>
    <w:rsid w:val="00E46924"/>
    <w:rsid w:val="00E92F73"/>
    <w:rsid w:val="00EC7688"/>
    <w:rsid w:val="00EE2032"/>
    <w:rsid w:val="00F15B36"/>
    <w:rsid w:val="00F201EC"/>
    <w:rsid w:val="00F27989"/>
    <w:rsid w:val="00F57933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53A2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5E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40</cp:revision>
  <dcterms:created xsi:type="dcterms:W3CDTF">2019-03-04T06:04:00Z</dcterms:created>
  <dcterms:modified xsi:type="dcterms:W3CDTF">2023-03-23T09:24:00Z</dcterms:modified>
</cp:coreProperties>
</file>