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293" w:rsidRPr="00B46293" w:rsidRDefault="00B46293" w:rsidP="00B462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Сводный</w:t>
      </w:r>
      <w:r w:rsidRPr="00B462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  <w:r w:rsidRPr="00B46293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оценке регулирующего воздействия</w:t>
      </w:r>
    </w:p>
    <w:p w:rsidR="00B46293" w:rsidRPr="00B46293" w:rsidRDefault="00B46293" w:rsidP="00B462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293">
        <w:rPr>
          <w:rFonts w:ascii="Times New Roman" w:eastAsia="Times New Roman" w:hAnsi="Times New Roman"/>
          <w:sz w:val="24"/>
          <w:szCs w:val="24"/>
          <w:lang w:eastAsia="ru-RU"/>
        </w:rPr>
        <w:t>проекта нормативного правового акта</w:t>
      </w:r>
    </w:p>
    <w:p w:rsidR="00A85E5F" w:rsidRPr="005166CF" w:rsidRDefault="00A85E5F" w:rsidP="00A85E5F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5948"/>
      </w:tblGrid>
      <w:tr w:rsidR="00A85E5F" w:rsidRPr="005166CF" w:rsidTr="006B4656">
        <w:trPr>
          <w:trHeight w:val="1066"/>
        </w:trPr>
        <w:tc>
          <w:tcPr>
            <w:tcW w:w="3652" w:type="dxa"/>
            <w:shd w:val="clear" w:color="auto" w:fill="auto"/>
          </w:tcPr>
          <w:p w:rsidR="00A85E5F" w:rsidRPr="000878A1" w:rsidRDefault="00A85E5F" w:rsidP="006B46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0878A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</w:t>
            </w:r>
            <w:r w:rsidR="009A4FD1" w:rsidRPr="000878A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</w:t>
            </w:r>
            <w:r w:rsidRPr="00087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  <w:p w:rsidR="00A85E5F" w:rsidRPr="005166CF" w:rsidRDefault="00A85E5F" w:rsidP="006B4656">
            <w:pPr>
              <w:spacing w:after="0" w:line="240" w:lineRule="auto"/>
              <w:ind w:left="42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r w:rsidRPr="005166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присваивается органом администрации, осуществляющим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5166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экспертизу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:rsidR="00A85E5F" w:rsidRPr="005166CF" w:rsidRDefault="00A85E5F" w:rsidP="006B46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проведения публичного обсуждения:</w:t>
            </w:r>
          </w:p>
          <w:p w:rsidR="00A85E5F" w:rsidRPr="003F3241" w:rsidRDefault="00DF0606" w:rsidP="006B4656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начало: </w:t>
            </w:r>
            <w:r w:rsidRPr="003F3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5E350E" w:rsidRPr="003F3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F3241" w:rsidRPr="003F3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3F3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3F3241" w:rsidRPr="003F3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ноября</w:t>
            </w:r>
            <w:r w:rsidRPr="003F3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C9242B" w:rsidRPr="003F3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3F3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85E5F" w:rsidRPr="003F3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г.;</w:t>
            </w:r>
          </w:p>
          <w:p w:rsidR="00A85E5F" w:rsidRPr="005166CF" w:rsidRDefault="00A85E5F" w:rsidP="003F3241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3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окончание: </w:t>
            </w:r>
            <w:r w:rsidR="00DF0606" w:rsidRPr="003F3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5E350E" w:rsidRPr="003F3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F3241" w:rsidRPr="003F3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F0606" w:rsidRPr="003F3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3F3241" w:rsidRPr="003F3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декабря</w:t>
            </w:r>
            <w:r w:rsidR="00DF0606" w:rsidRPr="003F3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94468E" w:rsidRPr="003F3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9242B" w:rsidRPr="003F3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F0606" w:rsidRPr="003F3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3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A85E5F" w:rsidRPr="005166CF" w:rsidRDefault="00A85E5F" w:rsidP="00A85E5F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6CF">
        <w:rPr>
          <w:rFonts w:ascii="Times New Roman" w:eastAsia="Times New Roman" w:hAnsi="Times New Roman"/>
          <w:sz w:val="24"/>
          <w:szCs w:val="24"/>
          <w:lang w:eastAsia="ru-RU"/>
        </w:rPr>
        <w:t>1. Общая информация</w:t>
      </w:r>
    </w:p>
    <w:p w:rsidR="00A85E5F" w:rsidRPr="005166CF" w:rsidRDefault="00A85E5F" w:rsidP="00A85E5F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A85E5F" w:rsidRPr="002B0FE9" w:rsidTr="006B4656">
        <w:tc>
          <w:tcPr>
            <w:tcW w:w="9781" w:type="dxa"/>
            <w:shd w:val="clear" w:color="auto" w:fill="auto"/>
          </w:tcPr>
          <w:p w:rsidR="00A85E5F" w:rsidRPr="002B0FE9" w:rsidRDefault="00A85E5F" w:rsidP="006B4656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 Орган</w:t>
            </w:r>
            <w:r w:rsidR="00B46293" w:rsidRPr="002B0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(ы)</w:t>
            </w:r>
            <w:r w:rsidRPr="002B0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города, </w:t>
            </w:r>
            <w:r w:rsidR="00B46293" w:rsidRPr="002B0F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являющийся</w:t>
            </w:r>
            <w:r w:rsidR="00B46293" w:rsidRPr="002B0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(являющееся) разработчиком проекта муниципального нормативного правового акта, затрагивающего вопросы осуществления предпринимательской и инвестиционной деятельности </w:t>
            </w:r>
            <w:r w:rsidRPr="002B0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(далее </w:t>
            </w:r>
            <w:r w:rsidR="00B46293" w:rsidRPr="002B0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2B0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6293" w:rsidRPr="002B0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регулирующий орган)</w:t>
            </w:r>
            <w:r w:rsidRPr="002B0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A85E5F" w:rsidRPr="0093409C" w:rsidRDefault="00A85E5F" w:rsidP="00A85E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93409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</w:t>
            </w:r>
            <w:r w:rsidR="00B91E8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Управление экономической политики</w:t>
            </w:r>
            <w:r w:rsidR="0093409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администрации города</w:t>
            </w:r>
            <w:r w:rsidR="0094468E" w:rsidRPr="0093409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</w:t>
            </w:r>
            <w:r w:rsidR="0093409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</w:t>
            </w:r>
            <w:r w:rsidR="0094468E" w:rsidRPr="0093409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        </w:t>
            </w:r>
          </w:p>
          <w:p w:rsidR="00A85E5F" w:rsidRPr="002B0FE9" w:rsidRDefault="00A85E5F" w:rsidP="006B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85E5F" w:rsidRPr="002B0FE9" w:rsidTr="002C51FF"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EB2CA4" w:rsidRPr="002B0FE9" w:rsidRDefault="00A85E5F" w:rsidP="00EB2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  <w:r w:rsidR="00EB2CA4" w:rsidRPr="002B0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Сведения об органах администрации города, участвующих в разработке проекта муниципального нормативного правового акта, затрагивающего вопросы осуществления предпринимательской и инвестиционной деятельности:</w:t>
            </w:r>
          </w:p>
          <w:p w:rsidR="00A85E5F" w:rsidRPr="002C3EC0" w:rsidRDefault="00A85E5F" w:rsidP="002C3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C3EC0" w:rsidRPr="002C3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  <w:r w:rsidR="00915A17" w:rsidRPr="002C3E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</w:t>
            </w:r>
          </w:p>
        </w:tc>
      </w:tr>
      <w:tr w:rsidR="00A85E5F" w:rsidRPr="002B0FE9" w:rsidTr="00A65604">
        <w:trPr>
          <w:trHeight w:val="1543"/>
        </w:trPr>
        <w:tc>
          <w:tcPr>
            <w:tcW w:w="9781" w:type="dxa"/>
            <w:tcBorders>
              <w:bottom w:val="nil"/>
            </w:tcBorders>
            <w:shd w:val="clear" w:color="auto" w:fill="auto"/>
          </w:tcPr>
          <w:p w:rsidR="006576CC" w:rsidRPr="002B0FE9" w:rsidRDefault="00A85E5F" w:rsidP="0073671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 Вид и наименование нормативного правового акта:</w:t>
            </w:r>
          </w:p>
          <w:p w:rsidR="006576CC" w:rsidRPr="009A4FD1" w:rsidRDefault="00A85E5F" w:rsidP="002C51FF">
            <w:pPr>
              <w:pBdr>
                <w:bottom w:val="single" w:sz="4" w:space="1" w:color="auto"/>
              </w:pBd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A66A8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D643E9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роект </w:t>
            </w: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D643E9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остановления</w:t>
            </w: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города </w:t>
            </w:r>
            <w:r w:rsidR="00D643E9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8A66A8" w:rsidRPr="009A4FD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города от 19.12.2018 №2746 «Об утверждении муниципальной программы «Поддержка и развитие малого и среднего предпринимательства на территории город</w:t>
            </w:r>
            <w:r w:rsidR="0094468E" w:rsidRPr="009A4FD1">
              <w:rPr>
                <w:rFonts w:ascii="Times New Roman" w:hAnsi="Times New Roman"/>
                <w:sz w:val="24"/>
                <w:szCs w:val="24"/>
              </w:rPr>
              <w:t>а</w:t>
            </w:r>
            <w:r w:rsidR="008A66A8" w:rsidRPr="009A4FD1">
              <w:rPr>
                <w:rFonts w:ascii="Times New Roman" w:hAnsi="Times New Roman"/>
                <w:sz w:val="24"/>
                <w:szCs w:val="24"/>
              </w:rPr>
              <w:t xml:space="preserve"> Мегион</w:t>
            </w:r>
            <w:r w:rsidR="009A4FD1" w:rsidRPr="009A4FD1">
              <w:rPr>
                <w:rFonts w:ascii="Times New Roman" w:hAnsi="Times New Roman"/>
                <w:sz w:val="24"/>
                <w:szCs w:val="24"/>
              </w:rPr>
              <w:t>а</w:t>
            </w:r>
            <w:r w:rsidR="008A66A8" w:rsidRPr="009A4FD1">
              <w:rPr>
                <w:rFonts w:ascii="Times New Roman" w:hAnsi="Times New Roman"/>
                <w:sz w:val="24"/>
                <w:szCs w:val="24"/>
              </w:rPr>
              <w:t xml:space="preserve"> на 2019-2025 годы» (с изменениями)</w:t>
            </w:r>
          </w:p>
          <w:p w:rsidR="00A85E5F" w:rsidRPr="002B0FE9" w:rsidRDefault="00A85E5F" w:rsidP="006576CC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85E5F" w:rsidRPr="002B0FE9" w:rsidTr="002C3EC0">
        <w:trPr>
          <w:trHeight w:val="567"/>
        </w:trPr>
        <w:tc>
          <w:tcPr>
            <w:tcW w:w="9781" w:type="dxa"/>
            <w:tcBorders>
              <w:top w:val="nil"/>
            </w:tcBorders>
            <w:shd w:val="clear" w:color="auto" w:fill="auto"/>
          </w:tcPr>
          <w:p w:rsidR="00073992" w:rsidRDefault="00030B74" w:rsidP="00D31B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  <w:r w:rsidR="00A85E5F" w:rsidRPr="00441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</w:t>
            </w:r>
            <w:r w:rsidR="00441BD6" w:rsidRPr="00441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Федеральным законом от 28.06.2022 №197-ФЗ «О внесении изменений в Федеральный закон «О развитии малого и среднего предпринимательства в Российской Федерации», в соответствии с 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      </w:r>
          </w:p>
          <w:p w:rsidR="00A85E5F" w:rsidRPr="002B0FE9" w:rsidRDefault="00073992" w:rsidP="00D31B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030B74" w:rsidRPr="002B0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EB2CA4" w:rsidRPr="002B0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85E5F" w:rsidRPr="002B0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Контактная информация исполнителя </w:t>
            </w:r>
            <w:r w:rsidR="00EB2CA4" w:rsidRPr="002B0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регулирующего органа</w:t>
            </w:r>
            <w:r w:rsidR="00A85E5F" w:rsidRPr="002B0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A85E5F" w:rsidRPr="002B0FE9" w:rsidRDefault="00A85E5F" w:rsidP="00D31B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Ф.И.О.: </w:t>
            </w:r>
            <w:r w:rsidR="001A2C6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Черникова Ольга </w:t>
            </w:r>
            <w:r w:rsidR="009A4FD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Анатольевна</w:t>
            </w:r>
            <w:r w:rsidRPr="002B0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A85E5F" w:rsidRPr="002B0FE9" w:rsidRDefault="00A85E5F" w:rsidP="002C51FF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Должность: </w:t>
            </w:r>
            <w:r w:rsidR="00C9242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главный специалист</w:t>
            </w:r>
            <w:r w:rsidR="0069574D" w:rsidRPr="002B0F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отдела развития</w:t>
            </w:r>
            <w:r w:rsidRPr="002B0F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2C51FF" w:rsidRPr="002B0F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промышленности и поддержки предпринимательства </w:t>
            </w:r>
            <w:r w:rsidR="0089281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управления экономической политики</w:t>
            </w:r>
            <w:r w:rsidR="002C51FF" w:rsidRPr="002B0F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2C51FF" w:rsidRPr="002B0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города</w:t>
            </w:r>
          </w:p>
          <w:p w:rsidR="00A85E5F" w:rsidRPr="002B0FE9" w:rsidRDefault="00A85E5F" w:rsidP="00D31B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Тел: _</w:t>
            </w:r>
            <w:r w:rsidRPr="002B0F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8(34643</w:t>
            </w:r>
            <w:r w:rsidR="000535D5" w:rsidRPr="002B0F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)</w:t>
            </w:r>
            <w:r w:rsidRPr="002B0F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</w:t>
            </w:r>
            <w:r w:rsidR="002C51FF" w:rsidRPr="002B0F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9</w:t>
            </w:r>
            <w:r w:rsidRPr="002B0F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-</w:t>
            </w:r>
            <w:r w:rsidR="002C51FF" w:rsidRPr="002B0F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63</w:t>
            </w:r>
            <w:r w:rsidRPr="002B0F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-</w:t>
            </w:r>
            <w:r w:rsidR="002C51FF" w:rsidRPr="002B0F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5</w:t>
            </w:r>
            <w:r w:rsidR="001A2C6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0</w:t>
            </w:r>
          </w:p>
          <w:p w:rsidR="00A85E5F" w:rsidRPr="002B0FE9" w:rsidRDefault="00A85E5F" w:rsidP="00D31BFD">
            <w:pPr>
              <w:keepNext/>
              <w:framePr w:hSpace="180" w:wrap="around" w:vAnchor="text" w:hAnchor="margin" w:xAlign="center" w:y="212"/>
              <w:tabs>
                <w:tab w:val="left" w:pos="225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  <w:r w:rsidR="001A2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1A2C66" w:rsidRPr="001A2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ChernikovaOA@admmegion.ru</w:t>
            </w:r>
          </w:p>
        </w:tc>
      </w:tr>
    </w:tbl>
    <w:p w:rsidR="002C3EC0" w:rsidRDefault="002C3EC0" w:rsidP="00EB2C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CA4" w:rsidRPr="00EB2CA4" w:rsidRDefault="00EB2CA4" w:rsidP="00EB2C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CA4">
        <w:rPr>
          <w:rFonts w:ascii="Times New Roman" w:eastAsia="Times New Roman" w:hAnsi="Times New Roman"/>
          <w:sz w:val="24"/>
          <w:szCs w:val="24"/>
          <w:lang w:eastAsia="ru-RU"/>
        </w:rPr>
        <w:t>2. Характеристика существующей проблемной ситуации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B2CA4" w:rsidRPr="00EB2CA4" w:rsidTr="00387885">
        <w:trPr>
          <w:trHeight w:val="303"/>
        </w:trPr>
        <w:tc>
          <w:tcPr>
            <w:tcW w:w="9571" w:type="dxa"/>
            <w:shd w:val="clear" w:color="auto" w:fill="auto"/>
          </w:tcPr>
          <w:p w:rsidR="00EB2CA4" w:rsidRPr="00EB2CA4" w:rsidRDefault="00EB2CA4" w:rsidP="00EB2CA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C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 Описание содержания проблемной ситуации, на решение которой направлен предлагаемый проектом нормативного правового акта способ регулирования:</w:t>
            </w:r>
          </w:p>
          <w:p w:rsidR="00EB2CA4" w:rsidRPr="00EB2CA4" w:rsidRDefault="00073992" w:rsidP="00073992">
            <w:pPr>
              <w:autoSpaceDE w:val="0"/>
              <w:autoSpaceDN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постановления администрации города Мегиона предусматривает включение мониторинга достижения результатов предоставления субсидии внесение изменений в перечень документов, необходимых для предоставления субсидии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</w:tr>
      <w:tr w:rsidR="00EB2CA4" w:rsidRPr="00EB2CA4" w:rsidTr="006A4AA7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EB2CA4" w:rsidRPr="009A4FD1" w:rsidRDefault="00EB2CA4" w:rsidP="00EB2CA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 Перечень действующих муниципальных нормативных правовых актов (их положений), устанавливающих правовое регулирование:</w:t>
            </w:r>
          </w:p>
          <w:p w:rsidR="00EB2CA4" w:rsidRPr="009A4FD1" w:rsidRDefault="006576CC" w:rsidP="009A4FD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Устав города Мегиона; </w:t>
            </w:r>
            <w:r w:rsidR="008F35A8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администрации города от</w:t>
            </w:r>
            <w:r w:rsidR="008F35A8" w:rsidRPr="009A4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34AD" w:rsidRPr="009A4FD1">
              <w:rPr>
                <w:rFonts w:ascii="Times New Roman" w:hAnsi="Times New Roman"/>
                <w:sz w:val="24"/>
                <w:szCs w:val="24"/>
              </w:rPr>
              <w:t>19.12.2018</w:t>
            </w:r>
            <w:r w:rsidR="008F35A8" w:rsidRPr="009A4FD1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4834AD" w:rsidRPr="009A4FD1">
              <w:rPr>
                <w:rFonts w:ascii="Times New Roman" w:hAnsi="Times New Roman"/>
                <w:sz w:val="24"/>
                <w:szCs w:val="24"/>
              </w:rPr>
              <w:t>2746</w:t>
            </w:r>
            <w:r w:rsidR="008F35A8" w:rsidRPr="009A4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4FD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8F35A8" w:rsidRPr="009A4FD1">
              <w:rPr>
                <w:rFonts w:ascii="Times New Roman" w:hAnsi="Times New Roman"/>
                <w:sz w:val="24"/>
                <w:szCs w:val="24"/>
              </w:rPr>
              <w:t>«Об утверждении муниципальной программы «Поддержка и развитие малого и среднего предпринимательства на территории город</w:t>
            </w:r>
            <w:r w:rsidR="009A4FD1">
              <w:rPr>
                <w:rFonts w:ascii="Times New Roman" w:hAnsi="Times New Roman"/>
                <w:sz w:val="24"/>
                <w:szCs w:val="24"/>
              </w:rPr>
              <w:t>а</w:t>
            </w:r>
            <w:r w:rsidR="008F35A8" w:rsidRPr="009A4FD1">
              <w:rPr>
                <w:rFonts w:ascii="Times New Roman" w:hAnsi="Times New Roman"/>
                <w:sz w:val="24"/>
                <w:szCs w:val="24"/>
              </w:rPr>
              <w:t xml:space="preserve"> Мегион</w:t>
            </w:r>
            <w:r w:rsidR="009A4FD1">
              <w:rPr>
                <w:rFonts w:ascii="Times New Roman" w:hAnsi="Times New Roman"/>
                <w:sz w:val="24"/>
                <w:szCs w:val="24"/>
              </w:rPr>
              <w:t>а</w:t>
            </w:r>
            <w:r w:rsidR="008F35A8" w:rsidRPr="009A4FD1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4834AD" w:rsidRPr="009A4FD1">
              <w:rPr>
                <w:rFonts w:ascii="Times New Roman" w:hAnsi="Times New Roman"/>
                <w:sz w:val="24"/>
                <w:szCs w:val="24"/>
              </w:rPr>
              <w:t>9-2025</w:t>
            </w:r>
            <w:r w:rsidR="008F35A8" w:rsidRPr="009A4FD1">
              <w:rPr>
                <w:rFonts w:ascii="Times New Roman" w:hAnsi="Times New Roman"/>
                <w:sz w:val="24"/>
                <w:szCs w:val="24"/>
              </w:rPr>
              <w:t xml:space="preserve"> годы» (с изменениями)</w:t>
            </w:r>
          </w:p>
        </w:tc>
      </w:tr>
      <w:tr w:rsidR="00EB2CA4" w:rsidRPr="00EB2CA4" w:rsidTr="006A4AA7">
        <w:trPr>
          <w:trHeight w:val="4036"/>
        </w:trPr>
        <w:tc>
          <w:tcPr>
            <w:tcW w:w="9571" w:type="dxa"/>
            <w:tcBorders>
              <w:bottom w:val="nil"/>
            </w:tcBorders>
            <w:shd w:val="clear" w:color="auto" w:fill="auto"/>
          </w:tcPr>
          <w:p w:rsidR="00EB2CA4" w:rsidRPr="00F66CF2" w:rsidRDefault="009C35AE" w:rsidP="00F66CF2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2.3.</w:t>
            </w:r>
            <w:r w:rsidR="00EB2CA4" w:rsidRPr="00F66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Опыт муниципальных образований Ханты-Мансийского автономного округа - Югры в соответствующих сферах деятельности:</w:t>
            </w:r>
          </w:p>
          <w:p w:rsidR="00D729A1" w:rsidRPr="00F66CF2" w:rsidRDefault="008F35A8" w:rsidP="00F66CF2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многих муниципальных образованиях Ханты - Мансийского автономного округа – Югры разработаны аналогичные нормативные правовые акты. Например:</w:t>
            </w:r>
          </w:p>
          <w:p w:rsidR="00E22F56" w:rsidRPr="00F66CF2" w:rsidRDefault="006A4AA7" w:rsidP="00F66CF2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администрации города</w:t>
            </w:r>
            <w:r w:rsidR="00E22F56" w:rsidRPr="00F66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Радужный от 29</w:t>
            </w:r>
            <w:r w:rsidR="009C40FE" w:rsidRPr="00F66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</w:t>
            </w:r>
            <w:r w:rsidR="00E22F56" w:rsidRPr="00F66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</w:t>
            </w:r>
            <w:r w:rsidR="009C40FE" w:rsidRPr="00F66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E22F56" w:rsidRPr="00F66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506 </w:t>
            </w:r>
          </w:p>
          <w:p w:rsidR="006A4AA7" w:rsidRPr="00F66CF2" w:rsidRDefault="009C40FE" w:rsidP="00F66CF2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E22F56" w:rsidRPr="00F66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порядке предоставления из бюджета города Радужный субсидий субъектам малого и среднего предпринимательства в целях возмещения части затрат в связи с производством (реализацией) товаров, выполнением работ, оказанием услуг</w:t>
            </w:r>
            <w:r w:rsidRPr="00F66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E2410E" w:rsidRPr="009A4FD1" w:rsidRDefault="00E2410E" w:rsidP="00E2410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 Выявление рисков, связанных с текущей ситуацией:</w:t>
            </w:r>
          </w:p>
          <w:p w:rsidR="00E2410E" w:rsidRPr="009A4FD1" w:rsidRDefault="00E2410E" w:rsidP="00E2410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мер по решению вопросов, связанных со сложившейся ситуацией, предполагает возникновение следующих возможных рисков:</w:t>
            </w:r>
          </w:p>
          <w:p w:rsidR="00EB0D9F" w:rsidRPr="009A4FD1" w:rsidRDefault="00E2410E" w:rsidP="00D253F0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-риски </w:t>
            </w:r>
            <w:r w:rsidR="00D253F0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предоставления субсидий субъектам малого и среднего предпринимательства, </w:t>
            </w:r>
          </w:p>
          <w:p w:rsidR="00D253F0" w:rsidRPr="009A4FD1" w:rsidRDefault="00EB0D9F" w:rsidP="00D253F0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D253F0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риски не достижения значения показателя результативности.</w:t>
            </w:r>
          </w:p>
          <w:p w:rsidR="00D253F0" w:rsidRPr="009A4FD1" w:rsidRDefault="00D253F0" w:rsidP="00D253F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 Моделирование последствий, наступление которых возможно при отсутствии государственного регулирования:</w:t>
            </w:r>
          </w:p>
          <w:p w:rsidR="00D253F0" w:rsidRPr="009A4FD1" w:rsidRDefault="00D253F0" w:rsidP="00564133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на муниципальном уровне возможности оказания финансовой поддержки субъектам малого и среднего предпринимательства может способствовать развитию неблагоприятных условий для осуществления деятельности субъектами малого и среднего предпринимательства, что может повлечь за собой сокращение количества субъектов предпринимательской деятельности, уменьшение количества рабочих мест, снижение суммы налоговых отчислений, уплаченных в бюджет города Мегиона</w:t>
            </w:r>
          </w:p>
        </w:tc>
      </w:tr>
      <w:tr w:rsidR="00EB2CA4" w:rsidRPr="00EB2CA4" w:rsidTr="006A4AA7">
        <w:tc>
          <w:tcPr>
            <w:tcW w:w="95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2CA4" w:rsidRPr="00F86272" w:rsidRDefault="00EB2CA4" w:rsidP="006A4A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EB2CA4" w:rsidRPr="00EB2CA4" w:rsidTr="006A4AA7">
        <w:tc>
          <w:tcPr>
            <w:tcW w:w="9571" w:type="dxa"/>
            <w:tcBorders>
              <w:top w:val="single" w:sz="4" w:space="0" w:color="auto"/>
            </w:tcBorders>
            <w:shd w:val="clear" w:color="auto" w:fill="auto"/>
          </w:tcPr>
          <w:p w:rsidR="00D253F0" w:rsidRPr="009A4FD1" w:rsidRDefault="00D253F0" w:rsidP="00D25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2.6.Источники данных:</w:t>
            </w:r>
          </w:p>
          <w:p w:rsidR="00D253F0" w:rsidRPr="009A4FD1" w:rsidRDefault="00D253F0" w:rsidP="00D25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1.Компьютерная справочная правовая система «Консультант Плюс»;</w:t>
            </w:r>
          </w:p>
          <w:p w:rsidR="00EB2CA4" w:rsidRPr="009A4FD1" w:rsidRDefault="00D253F0" w:rsidP="005A54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2.Официальный сайт департамента экономического развития Ханты-Мансийского автономного округа – Югры;</w:t>
            </w:r>
          </w:p>
        </w:tc>
      </w:tr>
      <w:tr w:rsidR="00EB2CA4" w:rsidRPr="00EB2CA4" w:rsidTr="00D253F0">
        <w:trPr>
          <w:trHeight w:val="1440"/>
        </w:trPr>
        <w:tc>
          <w:tcPr>
            <w:tcW w:w="9571" w:type="dxa"/>
            <w:shd w:val="clear" w:color="auto" w:fill="auto"/>
          </w:tcPr>
          <w:p w:rsidR="004E69A8" w:rsidRPr="009A4FD1" w:rsidRDefault="004E69A8" w:rsidP="000A42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3.Информация, находящаяся в распоряжении отдела ра</w:t>
            </w:r>
            <w:r w:rsidR="009477E2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вития промышленности и поддержки предпринимательства департамента </w:t>
            </w:r>
            <w:r w:rsidR="0084568B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территориального</w:t>
            </w: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развития администрации </w:t>
            </w:r>
            <w:r w:rsidR="005A5425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</w:t>
            </w:r>
          </w:p>
          <w:p w:rsidR="0001599D" w:rsidRPr="009A4FD1" w:rsidRDefault="00EB2CA4" w:rsidP="0001599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</w:t>
            </w:r>
            <w:r w:rsidRPr="009A4FD1">
              <w:rPr>
                <w:rFonts w:ascii="Arial" w:eastAsia="Times New Roman" w:hAnsi="Arial"/>
                <w:sz w:val="24"/>
                <w:szCs w:val="24"/>
                <w:lang w:eastAsia="ru-RU"/>
              </w:rPr>
              <w:t> </w:t>
            </w: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Иная информация о проблеме:</w:t>
            </w:r>
          </w:p>
          <w:p w:rsidR="00EB2CA4" w:rsidRPr="009A4FD1" w:rsidRDefault="0001599D" w:rsidP="0001599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     отсутствует</w:t>
            </w:r>
            <w:r w:rsidR="00F66CF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</w:t>
            </w:r>
          </w:p>
          <w:p w:rsidR="00EB2CA4" w:rsidRPr="009A4FD1" w:rsidRDefault="00EB2CA4" w:rsidP="00EB2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</w:tbl>
    <w:p w:rsidR="005A5425" w:rsidRDefault="005A5425" w:rsidP="004E69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3F35" w:rsidRPr="007C3F35" w:rsidRDefault="007C3F35" w:rsidP="004E69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3F35">
        <w:rPr>
          <w:rFonts w:ascii="Times New Roman" w:eastAsia="Times New Roman" w:hAnsi="Times New Roman"/>
          <w:sz w:val="24"/>
          <w:szCs w:val="24"/>
          <w:lang w:eastAsia="ru-RU"/>
        </w:rPr>
        <w:t>3. Цели предлагаемого регулирования и их соответствие</w:t>
      </w:r>
    </w:p>
    <w:p w:rsidR="007C3F35" w:rsidRPr="007C3F35" w:rsidRDefault="007C3F35" w:rsidP="007C3F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3F35">
        <w:rPr>
          <w:rFonts w:ascii="Times New Roman" w:eastAsia="Times New Roman" w:hAnsi="Times New Roman"/>
          <w:sz w:val="24"/>
          <w:szCs w:val="24"/>
          <w:lang w:eastAsia="ru-RU"/>
        </w:rPr>
        <w:t>принципам правового регулирования, а также приоритетам</w:t>
      </w:r>
    </w:p>
    <w:p w:rsidR="00A9227A" w:rsidRDefault="007C3F35" w:rsidP="007C3F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3F35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развития, представленным в </w:t>
      </w:r>
      <w:hyperlink r:id="rId8" w:history="1">
        <w:r w:rsidRPr="007C3F35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Стратегии</w:t>
        </w:r>
      </w:hyperlink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</w:t>
      </w:r>
      <w:r w:rsidRPr="007C3F35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социально-экономического </w:t>
      </w:r>
      <w:r w:rsidR="00A922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C3F35" w:rsidRPr="007C3F35" w:rsidRDefault="007C3F35" w:rsidP="007C3F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3F35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развития </w:t>
      </w:r>
      <w:r w:rsidR="00A9227A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7C3F35">
        <w:rPr>
          <w:rFonts w:ascii="Times New Roman" w:eastAsia="Times New Roman" w:hAnsi="Times New Roman"/>
          <w:sz w:val="24"/>
          <w:szCs w:val="24"/>
          <w:lang w:eastAsia="ru-RU"/>
        </w:rPr>
        <w:t>ород</w:t>
      </w:r>
      <w:r w:rsidR="00A9227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3F35">
        <w:rPr>
          <w:rFonts w:ascii="Times New Roman" w:eastAsia="Times New Roman" w:hAnsi="Times New Roman"/>
          <w:sz w:val="24"/>
          <w:szCs w:val="24"/>
          <w:lang w:eastAsia="ru-RU"/>
        </w:rPr>
        <w:t>Мегион</w:t>
      </w:r>
      <w:r w:rsidR="00A9227A"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7C3F35" w:rsidRPr="00533E27" w:rsidTr="007165C2">
        <w:tc>
          <w:tcPr>
            <w:tcW w:w="4819" w:type="dxa"/>
          </w:tcPr>
          <w:p w:rsidR="007C3F35" w:rsidRPr="009923B2" w:rsidRDefault="007C3F35" w:rsidP="007C3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 Цели предлагаемого регулирования:</w:t>
            </w:r>
          </w:p>
        </w:tc>
        <w:tc>
          <w:tcPr>
            <w:tcW w:w="4819" w:type="dxa"/>
          </w:tcPr>
          <w:p w:rsidR="007C3F35" w:rsidRPr="009923B2" w:rsidRDefault="007C3F35" w:rsidP="007C3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 Способ достижения целей и решения проблемной ситуации посредством предлагаемого регулирования:</w:t>
            </w:r>
          </w:p>
        </w:tc>
      </w:tr>
      <w:tr w:rsidR="007C3F35" w:rsidRPr="00533E27" w:rsidTr="007165C2">
        <w:tc>
          <w:tcPr>
            <w:tcW w:w="4819" w:type="dxa"/>
          </w:tcPr>
          <w:p w:rsidR="007C3F35" w:rsidRPr="003372EA" w:rsidRDefault="003372EA" w:rsidP="00341A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72EA">
              <w:rPr>
                <w:rFonts w:ascii="Times New Roman" w:hAnsi="Times New Roman"/>
                <w:sz w:val="24"/>
                <w:szCs w:val="24"/>
              </w:rPr>
              <w:t xml:space="preserve">Приведение в соответствие с </w:t>
            </w:r>
            <w:r w:rsidRPr="003372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действующим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окружным законодательством. </w:t>
            </w:r>
            <w:r w:rsidR="004348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</w:t>
            </w:r>
            <w:r w:rsidR="004D5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показател</w:t>
            </w:r>
            <w:r w:rsidR="00A92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</w:t>
            </w:r>
            <w:r w:rsidR="004D5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результативности</w:t>
            </w:r>
            <w:r w:rsidR="0034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также исключение конкурсных процедур д</w:t>
            </w:r>
            <w:r w:rsidR="004D5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 </w:t>
            </w:r>
            <w:r w:rsidR="0034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4D5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убъектов </w:t>
            </w:r>
            <w:r w:rsidR="0034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МСП</w:t>
            </w:r>
            <w:r w:rsidR="004D5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ответственности за </w:t>
            </w:r>
            <w:r w:rsidR="004D56B9" w:rsidRPr="004D5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достижение значений вышеуказанного показателя.</w:t>
            </w:r>
          </w:p>
        </w:tc>
        <w:tc>
          <w:tcPr>
            <w:tcW w:w="4819" w:type="dxa"/>
          </w:tcPr>
          <w:p w:rsidR="007C3F35" w:rsidRPr="00533E27" w:rsidRDefault="004E69A8" w:rsidP="009923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372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r w:rsidR="009923B2" w:rsidRPr="003372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372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действия </w:t>
            </w:r>
            <w:r w:rsidR="005A257A" w:rsidRPr="003372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нормативного правового акта</w:t>
            </w:r>
          </w:p>
        </w:tc>
      </w:tr>
      <w:tr w:rsidR="007C3F35" w:rsidRPr="00533E27" w:rsidTr="007165C2">
        <w:tc>
          <w:tcPr>
            <w:tcW w:w="9638" w:type="dxa"/>
            <w:gridSpan w:val="2"/>
          </w:tcPr>
          <w:p w:rsidR="007C3F35" w:rsidRPr="009A4FD1" w:rsidRDefault="007C3F35" w:rsidP="007C3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3.3. Обоснование соответствия целей предлагаемого регулирования принципам правового регулирования, а также приоритетам развития, представленным в </w:t>
            </w:r>
            <w:hyperlink r:id="rId9" w:history="1">
              <w:r w:rsidRPr="009A4FD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Стратегии</w:t>
              </w:r>
            </w:hyperlink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социально-экономического развития город</w:t>
            </w:r>
            <w:r w:rsidR="00EB0D9F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Мегион</w:t>
            </w:r>
            <w:r w:rsidR="00EB0D9F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муниципальных программах:</w:t>
            </w:r>
          </w:p>
          <w:p w:rsidR="00381D39" w:rsidRPr="009A4FD1" w:rsidRDefault="005A257A" w:rsidP="007C3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Проект правового регулировани</w:t>
            </w:r>
            <w:r w:rsidR="00C86BA9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 на достижение целей и задач, установленных</w:t>
            </w:r>
            <w:r w:rsidR="00AB7EC0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AB7EC0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пунктом 8.1.3. Стратегии социально-экономического развития город</w:t>
            </w:r>
            <w:r w:rsid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AB7EC0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Мегион</w:t>
            </w:r>
            <w:r w:rsid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AB7EC0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81D39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период до 2035 года, а именно:</w:t>
            </w:r>
          </w:p>
          <w:p w:rsidR="00381D39" w:rsidRPr="009A4FD1" w:rsidRDefault="00381D39" w:rsidP="007C3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-увеличение расходов бюджета на реализацию мероприятий муниципальной программы по поддержке предпринимательства;</w:t>
            </w:r>
          </w:p>
          <w:p w:rsidR="00381D39" w:rsidRPr="009A4FD1" w:rsidRDefault="00381D39" w:rsidP="007C3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-поддержка реализации проектов в рамках приоритетных направлений экономического развития;</w:t>
            </w:r>
          </w:p>
          <w:p w:rsidR="007C3F35" w:rsidRPr="009A4FD1" w:rsidRDefault="00381D39" w:rsidP="005641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-упрощение условий регистрации и ведения бизнеса («одно окно», интерактивные сервисы регистрации и отчетности и т.п.)</w:t>
            </w:r>
            <w:r w:rsidRPr="009A4FD1"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  <w:t xml:space="preserve"> </w:t>
            </w:r>
          </w:p>
        </w:tc>
      </w:tr>
      <w:tr w:rsidR="007C3F35" w:rsidRPr="007C3F35" w:rsidTr="007165C2">
        <w:tc>
          <w:tcPr>
            <w:tcW w:w="9638" w:type="dxa"/>
            <w:gridSpan w:val="2"/>
          </w:tcPr>
          <w:p w:rsidR="007C3F35" w:rsidRPr="007C3F35" w:rsidRDefault="007C3F35" w:rsidP="00A922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3.4. Иная информация о целях предлагаемого регулирования:</w:t>
            </w:r>
            <w:r w:rsidR="00AF700B" w:rsidRPr="00992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A5425" w:rsidRPr="009923B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отсутствует</w:t>
            </w:r>
            <w:r w:rsidR="00AF70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</w:t>
            </w:r>
          </w:p>
        </w:tc>
      </w:tr>
    </w:tbl>
    <w:p w:rsidR="00AF700B" w:rsidRDefault="00AF700B" w:rsidP="00AF70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6CA" w:rsidRDefault="003326CA" w:rsidP="003326CA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F904E6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4. Степень регулирующего воздействия проекта муниципального </w:t>
      </w:r>
    </w:p>
    <w:p w:rsidR="003326CA" w:rsidRPr="00F904E6" w:rsidRDefault="003326CA" w:rsidP="003326CA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F904E6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нормативного правового акта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599"/>
      </w:tblGrid>
      <w:tr w:rsidR="003326CA" w:rsidRPr="00F904E6" w:rsidTr="003326C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CA" w:rsidRPr="00F904E6" w:rsidRDefault="003326CA" w:rsidP="006E1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 Степень регулирующего воздействия проекта муниципального нормативного правового акта: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6CA" w:rsidRPr="00F904E6" w:rsidRDefault="003326CA" w:rsidP="006E1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высокая/</w:t>
            </w:r>
            <w:r w:rsidRPr="00EB0D9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средняя</w:t>
            </w:r>
            <w:r w:rsidRPr="00F90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BE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низкая</w:t>
            </w:r>
          </w:p>
        </w:tc>
      </w:tr>
      <w:tr w:rsidR="003326CA" w:rsidRPr="00F904E6" w:rsidTr="003326CA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26CA" w:rsidRPr="00F904E6" w:rsidRDefault="003326CA" w:rsidP="006E1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 Обоснование отнесения проекта муниципального нормативного правового акта к определенной степени регулирующего воздействия:</w:t>
            </w:r>
          </w:p>
          <w:p w:rsidR="009923B2" w:rsidRPr="009923B2" w:rsidRDefault="009923B2" w:rsidP="00992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923B2">
              <w:rPr>
                <w:rFonts w:ascii="Times New Roman" w:hAnsi="Times New Roman"/>
                <w:sz w:val="24"/>
                <w:szCs w:val="24"/>
              </w:rPr>
              <w:t xml:space="preserve">роект муниципального нормативного правового акта содержит положения, </w:t>
            </w:r>
            <w:r w:rsidR="004348E0" w:rsidRPr="004348E0">
              <w:rPr>
                <w:rFonts w:ascii="Times New Roman" w:hAnsi="Times New Roman"/>
                <w:sz w:val="24"/>
                <w:szCs w:val="24"/>
              </w:rPr>
              <w:t>изменяющие ранее предусмотренные муниципальными нормативными правовыми актами города Мегион обязанности для субъектов предпринимательской и инвестиционной деятельности, а также ранее установленную ответственность за нарушение муниципальных нормативных правовых актов города Мегиона, затрагивающих вопросы осуществления предпринимательской и инвестиционной деятельности</w:t>
            </w:r>
          </w:p>
          <w:p w:rsidR="003326CA" w:rsidRPr="00001066" w:rsidRDefault="003326CA" w:rsidP="00992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001066" w:rsidRDefault="00001066" w:rsidP="00AF70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00B" w:rsidRPr="00AF700B" w:rsidRDefault="003326CA" w:rsidP="00AF70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F700B" w:rsidRPr="00AF700B">
        <w:rPr>
          <w:rFonts w:ascii="Times New Roman" w:eastAsia="Times New Roman" w:hAnsi="Times New Roman"/>
          <w:sz w:val="24"/>
          <w:szCs w:val="24"/>
          <w:lang w:eastAsia="ru-RU"/>
        </w:rPr>
        <w:t>. Описание предлагаемого регулирования и иных возможных</w:t>
      </w:r>
    </w:p>
    <w:p w:rsidR="00AF700B" w:rsidRPr="00AF700B" w:rsidRDefault="00AF700B" w:rsidP="00AF70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00B">
        <w:rPr>
          <w:rFonts w:ascii="Times New Roman" w:eastAsia="Times New Roman" w:hAnsi="Times New Roman"/>
          <w:sz w:val="24"/>
          <w:szCs w:val="24"/>
          <w:lang w:eastAsia="ru-RU"/>
        </w:rPr>
        <w:t>способов решения проблемы</w:t>
      </w:r>
    </w:p>
    <w:tbl>
      <w:tblPr>
        <w:tblW w:w="95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AF700B" w:rsidRPr="009C40FE" w:rsidTr="00341A7A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F700B" w:rsidRPr="009C40FE" w:rsidRDefault="003326CA" w:rsidP="008456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u w:val="single"/>
                <w:lang w:eastAsia="ru-RU"/>
              </w:rPr>
            </w:pPr>
            <w:r w:rsidRPr="009C40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F700B" w:rsidRPr="009C40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.1. Описание предлагаемого способа решения проблемы и преодоления связанных с ней негативных эффектов: </w:t>
            </w:r>
            <w:r w:rsidR="009C40FE" w:rsidRPr="009C40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финансовой поддержки Субъектам, осуществляющим социально значимые виды деятельности в городе Мегионе</w:t>
            </w:r>
          </w:p>
        </w:tc>
      </w:tr>
      <w:tr w:rsidR="00AF700B" w:rsidRPr="009A4FD1" w:rsidTr="00341A7A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F700B" w:rsidRPr="009A4FD1" w:rsidRDefault="003326CA" w:rsidP="00AF70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F700B" w:rsidRPr="0017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 Описание иных способов (отмена регулирования, замена регулирования иными правовыми</w:t>
            </w:r>
            <w:r w:rsidR="00AF700B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способами или более мягкими формами регулирования, оптимизация действующего регулирования) решения проблемы (с указанием того, каким образом каждым из способов могла бы быть решена проблема):</w:t>
            </w:r>
          </w:p>
          <w:p w:rsidR="00AF700B" w:rsidRPr="009A4FD1" w:rsidRDefault="00AF700B" w:rsidP="005A5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="00704277" w:rsidRPr="009A4FD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отсутствует</w:t>
            </w:r>
            <w:r w:rsidR="005A5425" w:rsidRPr="009A4FD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</w:t>
            </w:r>
          </w:p>
        </w:tc>
      </w:tr>
      <w:tr w:rsidR="00AF700B" w:rsidRPr="009A4FD1" w:rsidTr="00341A7A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F700B" w:rsidRPr="009A4FD1" w:rsidRDefault="003326CA" w:rsidP="00AF70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F700B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 Обоснование выбора предлагаемого способа решения проблемы:</w:t>
            </w:r>
          </w:p>
          <w:p w:rsidR="00AF700B" w:rsidRPr="009A4FD1" w:rsidRDefault="009A6F84" w:rsidP="00AF70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целях решения проблемы предлагается </w:t>
            </w:r>
            <w:r w:rsidR="003337C1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утвердить муниципальный нормативный правовой акт в рамках оказания поддержки субъектам малого и среднего предпринимательства.</w:t>
            </w:r>
          </w:p>
          <w:p w:rsidR="009923B2" w:rsidRPr="009A4FD1" w:rsidRDefault="003337C1" w:rsidP="005A5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Выбранный способ решения проблемы отвечает требованиям</w:t>
            </w:r>
            <w:r w:rsidR="009923B2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9923B2" w:rsidRPr="009A4FD1" w:rsidRDefault="009C40FE" w:rsidP="009A4F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9C40FE">
              <w:rPr>
                <w:rFonts w:ascii="Times New Roman" w:hAnsi="Times New Roman"/>
                <w:sz w:val="24"/>
                <w:szCs w:val="24"/>
              </w:rPr>
              <w:t>постановление Правительства Ханты-Мансийского автономного округа - Югры от 31.10.2021 №483-п «О государственной программе Ханты-Мансийского автономного округа - Югры «Развитие экономического потенциала»</w:t>
            </w:r>
          </w:p>
        </w:tc>
      </w:tr>
      <w:tr w:rsidR="00AF700B" w:rsidRPr="009A4FD1" w:rsidTr="00CB2F74">
        <w:trPr>
          <w:trHeight w:val="619"/>
        </w:trPr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F700B" w:rsidRPr="009A4FD1" w:rsidRDefault="003326CA" w:rsidP="00AF70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F700B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 Иная информация о предлагаемом способе решения проблемы:</w:t>
            </w:r>
          </w:p>
          <w:p w:rsidR="00AF700B" w:rsidRPr="009A4FD1" w:rsidRDefault="00AF700B" w:rsidP="00CB2F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</w:t>
            </w:r>
            <w:r w:rsidR="00704277" w:rsidRPr="009A4FD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отсутствует</w:t>
            </w:r>
            <w:r w:rsidR="005A5425" w:rsidRPr="009A4FD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</w:t>
            </w:r>
          </w:p>
        </w:tc>
      </w:tr>
    </w:tbl>
    <w:p w:rsidR="00AF700B" w:rsidRPr="009A4FD1" w:rsidRDefault="00AF700B" w:rsidP="00AF70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AF700B" w:rsidRPr="00174B4E" w:rsidRDefault="003326CA" w:rsidP="00AF70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B4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</w:t>
      </w:r>
      <w:r w:rsidR="00AF700B" w:rsidRPr="00174B4E">
        <w:rPr>
          <w:rFonts w:ascii="Times New Roman" w:eastAsia="Times New Roman" w:hAnsi="Times New Roman"/>
          <w:sz w:val="24"/>
          <w:szCs w:val="24"/>
          <w:lang w:eastAsia="ru-RU"/>
        </w:rPr>
        <w:t>. Анализ выгод и издержек от реализации предлагаемого</w:t>
      </w:r>
    </w:p>
    <w:p w:rsidR="00AF700B" w:rsidRPr="00174B4E" w:rsidRDefault="00AF700B" w:rsidP="00AF70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B4E">
        <w:rPr>
          <w:rFonts w:ascii="Times New Roman" w:eastAsia="Times New Roman" w:hAnsi="Times New Roman"/>
          <w:sz w:val="24"/>
          <w:szCs w:val="24"/>
          <w:lang w:eastAsia="ru-RU"/>
        </w:rPr>
        <w:t>способа государственного регулирования</w:t>
      </w:r>
    </w:p>
    <w:tbl>
      <w:tblPr>
        <w:tblW w:w="95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AF700B" w:rsidRPr="009A4FD1" w:rsidTr="00341A7A">
        <w:tc>
          <w:tcPr>
            <w:tcW w:w="9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B" w:rsidRPr="009A4FD1" w:rsidRDefault="003326CA" w:rsidP="00AF70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AF700B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 Сектор</w:t>
            </w:r>
            <w:r w:rsidR="004348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AF700B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экономики, группа субъектов предпринимательской и инвестиционной деятельности, (территория) ожидаемого воздействия</w:t>
            </w:r>
            <w:r w:rsidR="004348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их количественная оценка</w:t>
            </w:r>
            <w:r w:rsidR="00AF700B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4348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Субъектов МСП -1750; администрация города -  1</w:t>
            </w:r>
          </w:p>
          <w:p w:rsidR="00AF700B" w:rsidRPr="009A4FD1" w:rsidRDefault="00C23621" w:rsidP="008456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F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Предполагаемый способ регулирования затрагивает интересы субъектов малого и среднего предпринимат</w:t>
            </w:r>
            <w:r w:rsidR="005A5425" w:rsidRPr="009A4F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ельства,</w:t>
            </w:r>
            <w:r w:rsidR="005A5425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юридических лиц независимо от  организационно-правовых форм и форм собственности, индивидуальных предпринимателей и администрацию города Мегиона в лице департамента </w:t>
            </w:r>
            <w:r w:rsidR="0084568B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территориального </w:t>
            </w:r>
            <w:r w:rsidR="005A5425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развития </w:t>
            </w:r>
            <w:r w:rsidR="005A5425" w:rsidRPr="009A4F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F700B" w:rsidRPr="009A4FD1" w:rsidTr="00341A7A">
        <w:tc>
          <w:tcPr>
            <w:tcW w:w="9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00B" w:rsidRPr="009A4FD1" w:rsidRDefault="003326CA" w:rsidP="00AF70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AF700B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 Качественное описание и количественная оценка ожидаемого негативного воздействия и период соответствующего воздействия:</w:t>
            </w:r>
          </w:p>
          <w:p w:rsidR="00AF700B" w:rsidRPr="009A4FD1" w:rsidRDefault="00A91307" w:rsidP="00174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Прогнозируемая оценка негативного воздействия отс</w:t>
            </w:r>
            <w:r w:rsidR="005A5425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утствует</w:t>
            </w:r>
          </w:p>
        </w:tc>
      </w:tr>
      <w:tr w:rsidR="00AF700B" w:rsidRPr="009A4FD1" w:rsidTr="00341A7A">
        <w:tc>
          <w:tcPr>
            <w:tcW w:w="9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B" w:rsidRPr="009A4FD1" w:rsidRDefault="003326CA" w:rsidP="00AF70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AF700B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 Качественное описание и количественная оценка ожидаемого позитивного воздействия и период соответствующего воздействия:</w:t>
            </w:r>
          </w:p>
          <w:p w:rsidR="00AF700B" w:rsidRPr="009A4FD1" w:rsidRDefault="00EE1347" w:rsidP="009C40FE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проекта постановления администрации города позволит оказ</w:t>
            </w:r>
            <w:r w:rsidR="009C40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ыва</w:t>
            </w: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ть поддержку субъектам малого и среднего предпринимательства </w:t>
            </w:r>
            <w:r w:rsidR="004348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Субъектам на сумму </w:t>
            </w:r>
            <w:r w:rsidR="0034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3 169,0 тыс. рублей</w:t>
            </w:r>
          </w:p>
        </w:tc>
      </w:tr>
      <w:tr w:rsidR="00AF700B" w:rsidRPr="009A4FD1" w:rsidTr="00341A7A">
        <w:tc>
          <w:tcPr>
            <w:tcW w:w="9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B" w:rsidRPr="009A4FD1" w:rsidRDefault="003326CA" w:rsidP="00AF70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AF700B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 Источники данных:</w:t>
            </w:r>
          </w:p>
          <w:p w:rsidR="0084238F" w:rsidRPr="009A4FD1" w:rsidRDefault="0084238F" w:rsidP="00842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1.Компьютерная справочная правовая система «Консультант Плюс»;</w:t>
            </w:r>
          </w:p>
          <w:p w:rsidR="0084238F" w:rsidRPr="009A4FD1" w:rsidRDefault="0084238F" w:rsidP="00842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2.Официальный сайт департамента экономического развития Ханты-Мансийского автономного округа – Югры;</w:t>
            </w:r>
          </w:p>
          <w:p w:rsidR="00AF700B" w:rsidRPr="009A4FD1" w:rsidRDefault="0084238F" w:rsidP="00441B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3.Информация, находящаяся в распоряжении отдела ра</w:t>
            </w:r>
            <w:r w:rsidR="005A5425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вития промышленности и поддержки предпринимательства </w:t>
            </w:r>
            <w:r w:rsidR="00441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экономической политики</w:t>
            </w: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A5425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AF700B" w:rsidRPr="009A4FD1" w:rsidRDefault="00AF700B" w:rsidP="00AF70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AF700B" w:rsidRPr="00174B4E" w:rsidRDefault="00B90FA0" w:rsidP="00AF70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B4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AF700B" w:rsidRPr="00174B4E">
        <w:rPr>
          <w:rFonts w:ascii="Times New Roman" w:eastAsia="Times New Roman" w:hAnsi="Times New Roman"/>
          <w:sz w:val="24"/>
          <w:szCs w:val="24"/>
          <w:lang w:eastAsia="ru-RU"/>
        </w:rPr>
        <w:t>. Оценка соответствующих расходов (возможных поступлений)</w:t>
      </w:r>
    </w:p>
    <w:p w:rsidR="00AF700B" w:rsidRPr="00174B4E" w:rsidRDefault="00AF700B" w:rsidP="00AF70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B4E">
        <w:rPr>
          <w:rFonts w:ascii="Times New Roman" w:eastAsia="Times New Roman" w:hAnsi="Times New Roman"/>
          <w:sz w:val="24"/>
          <w:szCs w:val="24"/>
          <w:lang w:eastAsia="ru-RU"/>
        </w:rPr>
        <w:t>бюджета города Мегиона, а также расходов субъектов</w:t>
      </w:r>
    </w:p>
    <w:p w:rsidR="00AF700B" w:rsidRPr="00174B4E" w:rsidRDefault="00AF700B" w:rsidP="00AF70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B4E">
        <w:rPr>
          <w:rFonts w:ascii="Times New Roman" w:eastAsia="Times New Roman" w:hAnsi="Times New Roman"/>
          <w:sz w:val="24"/>
          <w:szCs w:val="24"/>
          <w:lang w:eastAsia="ru-RU"/>
        </w:rPr>
        <w:t>предпринимательской и инвестиционной деятельности, связанных</w:t>
      </w:r>
    </w:p>
    <w:p w:rsidR="00AF700B" w:rsidRPr="00174B4E" w:rsidRDefault="00AF700B" w:rsidP="00AF70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B4E">
        <w:rPr>
          <w:rFonts w:ascii="Times New Roman" w:eastAsia="Times New Roman" w:hAnsi="Times New Roman"/>
          <w:sz w:val="24"/>
          <w:szCs w:val="24"/>
          <w:lang w:eastAsia="ru-RU"/>
        </w:rPr>
        <w:t>с необходимостью соблюдения устанавливаемых (изменяемых)</w:t>
      </w:r>
    </w:p>
    <w:p w:rsidR="00AF700B" w:rsidRDefault="00AF700B" w:rsidP="00AF70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B4E">
        <w:rPr>
          <w:rFonts w:ascii="Times New Roman" w:eastAsia="Times New Roman" w:hAnsi="Times New Roman"/>
          <w:sz w:val="24"/>
          <w:szCs w:val="24"/>
          <w:lang w:eastAsia="ru-RU"/>
        </w:rPr>
        <w:t>обязанностей, ограничений или запретов</w:t>
      </w:r>
    </w:p>
    <w:p w:rsidR="00341A7A" w:rsidRPr="00174B4E" w:rsidRDefault="00341A7A" w:rsidP="00AF70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4"/>
        <w:gridCol w:w="153"/>
        <w:gridCol w:w="3097"/>
        <w:gridCol w:w="3161"/>
      </w:tblGrid>
      <w:tr w:rsidR="006B4656" w:rsidRPr="009A4FD1" w:rsidTr="00341A7A">
        <w:tc>
          <w:tcPr>
            <w:tcW w:w="2934" w:type="dxa"/>
            <w:shd w:val="clear" w:color="auto" w:fill="auto"/>
          </w:tcPr>
          <w:p w:rsidR="006B4656" w:rsidRPr="009A4FD1" w:rsidRDefault="00B90FA0" w:rsidP="006B46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6B4656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 Наименование существующей функции, полномочия, обязанности или права</w:t>
            </w:r>
          </w:p>
        </w:tc>
        <w:tc>
          <w:tcPr>
            <w:tcW w:w="3250" w:type="dxa"/>
            <w:gridSpan w:val="2"/>
            <w:shd w:val="clear" w:color="auto" w:fill="auto"/>
          </w:tcPr>
          <w:p w:rsidR="006B4656" w:rsidRPr="009A4FD1" w:rsidRDefault="00B90FA0" w:rsidP="007E59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6B4656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 Описание видов расходов, (поступлений) бюджета города Мегиона</w:t>
            </w:r>
          </w:p>
        </w:tc>
        <w:tc>
          <w:tcPr>
            <w:tcW w:w="3161" w:type="dxa"/>
            <w:shd w:val="clear" w:color="auto" w:fill="auto"/>
          </w:tcPr>
          <w:p w:rsidR="006B4656" w:rsidRPr="009A4FD1" w:rsidRDefault="00B90FA0" w:rsidP="007E59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6B4656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 Количественная оценка расходов, (поступлений)</w:t>
            </w:r>
            <w:r w:rsidR="007E596E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596E" w:rsidRPr="009A4FD1" w:rsidTr="00E5517E">
        <w:trPr>
          <w:trHeight w:val="479"/>
        </w:trPr>
        <w:tc>
          <w:tcPr>
            <w:tcW w:w="9345" w:type="dxa"/>
            <w:gridSpan w:val="4"/>
            <w:shd w:val="clear" w:color="auto" w:fill="auto"/>
          </w:tcPr>
          <w:p w:rsidR="007E596E" w:rsidRPr="009A4FD1" w:rsidRDefault="007E596E" w:rsidP="00E551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7.4. Бюджет города Мегиона</w:t>
            </w:r>
          </w:p>
        </w:tc>
      </w:tr>
      <w:tr w:rsidR="007E596E" w:rsidRPr="009A4FD1" w:rsidTr="00341A7A">
        <w:trPr>
          <w:trHeight w:val="728"/>
        </w:trPr>
        <w:tc>
          <w:tcPr>
            <w:tcW w:w="2934" w:type="dxa"/>
            <w:vMerge w:val="restart"/>
            <w:shd w:val="clear" w:color="auto" w:fill="auto"/>
          </w:tcPr>
          <w:p w:rsidR="007E596E" w:rsidRPr="009A4FD1" w:rsidRDefault="007E596E" w:rsidP="00E551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7.4.1</w:t>
            </w:r>
          </w:p>
          <w:p w:rsidR="007E596E" w:rsidRPr="009A4FD1" w:rsidRDefault="007E596E" w:rsidP="00E551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4FD1">
              <w:rPr>
                <w:rFonts w:ascii="Times New Roman" w:hAnsi="Times New Roman"/>
                <w:sz w:val="24"/>
                <w:szCs w:val="24"/>
              </w:rPr>
              <w:t>Задача 1.</w:t>
            </w:r>
          </w:p>
          <w:p w:rsidR="007E596E" w:rsidRPr="009A4FD1" w:rsidRDefault="007E596E" w:rsidP="00E551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4FD1">
              <w:rPr>
                <w:rFonts w:ascii="Times New Roman" w:hAnsi="Times New Roman"/>
                <w:sz w:val="24"/>
                <w:szCs w:val="24"/>
              </w:rPr>
              <w:t>Совершенствование механизмов финансовой и имущественной поддержки</w:t>
            </w:r>
          </w:p>
          <w:p w:rsidR="007E596E" w:rsidRPr="009A4FD1" w:rsidRDefault="007E596E" w:rsidP="00E551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A4FD1">
              <w:rPr>
                <w:rFonts w:ascii="Times New Roman" w:hAnsi="Times New Roman"/>
                <w:sz w:val="24"/>
                <w:szCs w:val="24"/>
              </w:rPr>
              <w:t>Предоставление субсидий субъектам малого и среднего предпринимательства</w:t>
            </w:r>
          </w:p>
        </w:tc>
        <w:tc>
          <w:tcPr>
            <w:tcW w:w="3250" w:type="dxa"/>
            <w:gridSpan w:val="2"/>
            <w:shd w:val="clear" w:color="auto" w:fill="auto"/>
          </w:tcPr>
          <w:p w:rsidR="007E596E" w:rsidRPr="009A4FD1" w:rsidRDefault="007E596E" w:rsidP="00E551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7.4.2. Единовременные расходы (год возникновения полномочия)</w:t>
            </w:r>
          </w:p>
        </w:tc>
        <w:tc>
          <w:tcPr>
            <w:tcW w:w="3161" w:type="dxa"/>
            <w:shd w:val="clear" w:color="auto" w:fill="auto"/>
          </w:tcPr>
          <w:p w:rsidR="007E596E" w:rsidRPr="009A4FD1" w:rsidRDefault="007E596E" w:rsidP="00E551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сч</w:t>
            </w:r>
            <w:r w:rsidR="00E9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бюджета города:</w:t>
            </w:r>
          </w:p>
          <w:p w:rsidR="007E596E" w:rsidRPr="009A4FD1" w:rsidRDefault="007E596E" w:rsidP="00E551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2019 год </w:t>
            </w:r>
            <w:r w:rsidR="007E3B94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563</w:t>
            </w:r>
            <w:r w:rsidR="007E3B94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7E3B94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</w:t>
            </w: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  <w:p w:rsidR="007E596E" w:rsidRPr="009A4FD1" w:rsidRDefault="007E596E" w:rsidP="00E551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2020 год </w:t>
            </w:r>
            <w:r w:rsidR="007E3B94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E3B94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975,</w:t>
            </w:r>
            <w:r w:rsidR="00E9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7E3B94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</w:t>
            </w: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  <w:p w:rsidR="007E596E" w:rsidRPr="009A4FD1" w:rsidRDefault="007E596E" w:rsidP="00E551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2021 год – </w:t>
            </w:r>
            <w:r w:rsidR="007E3B94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154,8 тыс.</w:t>
            </w: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  <w:p w:rsidR="007E3B94" w:rsidRPr="009A4FD1" w:rsidRDefault="007E596E" w:rsidP="007E3B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2022 год – </w:t>
            </w:r>
            <w:r w:rsidR="007E3B94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E9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7E3B94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9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7E3B94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7E596E" w:rsidRPr="009A4FD1" w:rsidRDefault="007E596E" w:rsidP="00E551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2023 год </w:t>
            </w:r>
            <w:r w:rsidR="007E3B94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6A4A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7E596E" w:rsidRPr="009A4FD1" w:rsidRDefault="007E596E" w:rsidP="00E551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2024 год –</w:t>
            </w:r>
            <w:r w:rsidR="007E3B94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</w:p>
          <w:p w:rsidR="007E596E" w:rsidRPr="009A4FD1" w:rsidRDefault="007E3B94" w:rsidP="00E551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2025 год – </w:t>
            </w:r>
            <w:r w:rsidR="007E596E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</w:p>
          <w:p w:rsidR="007E596E" w:rsidRPr="009A4FD1" w:rsidRDefault="007E596E" w:rsidP="00E551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E596E" w:rsidRPr="009A4FD1" w:rsidTr="00341A7A">
        <w:trPr>
          <w:trHeight w:val="598"/>
        </w:trPr>
        <w:tc>
          <w:tcPr>
            <w:tcW w:w="2934" w:type="dxa"/>
            <w:vMerge/>
            <w:shd w:val="clear" w:color="auto" w:fill="auto"/>
          </w:tcPr>
          <w:p w:rsidR="007E596E" w:rsidRPr="009A4FD1" w:rsidRDefault="007E596E" w:rsidP="00E55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3250" w:type="dxa"/>
            <w:gridSpan w:val="2"/>
            <w:shd w:val="clear" w:color="auto" w:fill="auto"/>
          </w:tcPr>
          <w:p w:rsidR="007E596E" w:rsidRPr="009A4FD1" w:rsidRDefault="007E596E" w:rsidP="007E596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7.4.3. Периодические расходы за период</w:t>
            </w:r>
          </w:p>
        </w:tc>
        <w:tc>
          <w:tcPr>
            <w:tcW w:w="3161" w:type="dxa"/>
            <w:shd w:val="clear" w:color="auto" w:fill="auto"/>
          </w:tcPr>
          <w:p w:rsidR="007E596E" w:rsidRPr="009A4FD1" w:rsidRDefault="007E596E" w:rsidP="007E59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7E596E" w:rsidRPr="009A4FD1" w:rsidTr="00341A7A">
        <w:trPr>
          <w:trHeight w:val="1036"/>
        </w:trPr>
        <w:tc>
          <w:tcPr>
            <w:tcW w:w="2934" w:type="dxa"/>
            <w:vMerge/>
            <w:shd w:val="clear" w:color="auto" w:fill="auto"/>
          </w:tcPr>
          <w:p w:rsidR="007E596E" w:rsidRPr="009A4FD1" w:rsidRDefault="007E596E" w:rsidP="00E55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3250" w:type="dxa"/>
            <w:gridSpan w:val="2"/>
            <w:shd w:val="clear" w:color="auto" w:fill="auto"/>
          </w:tcPr>
          <w:p w:rsidR="007E596E" w:rsidRPr="009A4FD1" w:rsidRDefault="007E596E" w:rsidP="00E551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7.4.4.Возможные </w:t>
            </w:r>
          </w:p>
          <w:p w:rsidR="007E596E" w:rsidRPr="009A4FD1" w:rsidRDefault="007E596E" w:rsidP="00E551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поступления за период </w:t>
            </w:r>
          </w:p>
          <w:p w:rsidR="007E596E" w:rsidRPr="009A4FD1" w:rsidRDefault="007E596E" w:rsidP="00E551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shd w:val="clear" w:color="auto" w:fill="auto"/>
          </w:tcPr>
          <w:p w:rsidR="007E596E" w:rsidRPr="009A4FD1" w:rsidRDefault="007E596E" w:rsidP="007E59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7E596E" w:rsidRPr="009A4FD1" w:rsidTr="00341A7A">
        <w:trPr>
          <w:trHeight w:val="399"/>
        </w:trPr>
        <w:tc>
          <w:tcPr>
            <w:tcW w:w="6184" w:type="dxa"/>
            <w:gridSpan w:val="3"/>
            <w:shd w:val="clear" w:color="auto" w:fill="auto"/>
          </w:tcPr>
          <w:p w:rsidR="007E596E" w:rsidRPr="009A4FD1" w:rsidRDefault="007E596E" w:rsidP="00E551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7.5. Итого единовременные расходы:</w:t>
            </w:r>
          </w:p>
        </w:tc>
        <w:tc>
          <w:tcPr>
            <w:tcW w:w="3161" w:type="dxa"/>
            <w:shd w:val="clear" w:color="auto" w:fill="auto"/>
          </w:tcPr>
          <w:p w:rsidR="007E596E" w:rsidRPr="009A4FD1" w:rsidRDefault="00E967D5" w:rsidP="00E55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1 852,5</w:t>
            </w:r>
            <w:r w:rsidR="007E3B94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</w:t>
            </w:r>
            <w:r w:rsidR="007E596E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7E596E" w:rsidRPr="009A4FD1" w:rsidTr="00341A7A">
        <w:trPr>
          <w:trHeight w:val="420"/>
        </w:trPr>
        <w:tc>
          <w:tcPr>
            <w:tcW w:w="6184" w:type="dxa"/>
            <w:gridSpan w:val="3"/>
            <w:shd w:val="clear" w:color="auto" w:fill="auto"/>
          </w:tcPr>
          <w:p w:rsidR="007E596E" w:rsidRPr="009A4FD1" w:rsidRDefault="007E596E" w:rsidP="00E551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7.6. Итого периодические расходы за год:</w:t>
            </w:r>
          </w:p>
        </w:tc>
        <w:tc>
          <w:tcPr>
            <w:tcW w:w="3161" w:type="dxa"/>
            <w:shd w:val="clear" w:color="auto" w:fill="auto"/>
          </w:tcPr>
          <w:p w:rsidR="007E596E" w:rsidRPr="009A4FD1" w:rsidRDefault="007E596E" w:rsidP="00E55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7E596E" w:rsidRPr="009A4FD1" w:rsidTr="00341A7A">
        <w:trPr>
          <w:trHeight w:val="411"/>
        </w:trPr>
        <w:tc>
          <w:tcPr>
            <w:tcW w:w="6184" w:type="dxa"/>
            <w:gridSpan w:val="3"/>
            <w:shd w:val="clear" w:color="auto" w:fill="auto"/>
          </w:tcPr>
          <w:p w:rsidR="007E596E" w:rsidRPr="009A4FD1" w:rsidRDefault="007E596E" w:rsidP="00E551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7.7. Итого  возможные поступления за год:</w:t>
            </w:r>
          </w:p>
        </w:tc>
        <w:tc>
          <w:tcPr>
            <w:tcW w:w="3161" w:type="dxa"/>
            <w:shd w:val="clear" w:color="auto" w:fill="auto"/>
          </w:tcPr>
          <w:p w:rsidR="007E596E" w:rsidRPr="009A4FD1" w:rsidRDefault="007E596E" w:rsidP="00E55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B4656" w:rsidRPr="009A4FD1" w:rsidTr="005A1FF8">
        <w:trPr>
          <w:trHeight w:val="479"/>
        </w:trPr>
        <w:tc>
          <w:tcPr>
            <w:tcW w:w="9345" w:type="dxa"/>
            <w:gridSpan w:val="4"/>
            <w:shd w:val="clear" w:color="auto" w:fill="auto"/>
          </w:tcPr>
          <w:p w:rsidR="006B4656" w:rsidRPr="009A4FD1" w:rsidRDefault="002D6A3A" w:rsidP="005A54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  <w:u w:val="single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7</w:t>
            </w:r>
            <w:r w:rsidR="0014308E" w:rsidRPr="009A4FD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.4</w:t>
            </w:r>
            <w:r w:rsidR="007E596E" w:rsidRPr="009A4FD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*</w:t>
            </w:r>
            <w:r w:rsidR="0014308E" w:rsidRPr="009A4FD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 Бюджет</w:t>
            </w:r>
            <w:r w:rsidR="007E596E" w:rsidRPr="009A4FD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5A5425" w:rsidRPr="009A4FD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Ханты-Мансийского автономного округа - Югры</w:t>
            </w:r>
          </w:p>
        </w:tc>
      </w:tr>
      <w:tr w:rsidR="006B4656" w:rsidRPr="009A4FD1" w:rsidTr="00341A7A">
        <w:trPr>
          <w:trHeight w:val="728"/>
        </w:trPr>
        <w:tc>
          <w:tcPr>
            <w:tcW w:w="2934" w:type="dxa"/>
            <w:vMerge w:val="restart"/>
            <w:shd w:val="clear" w:color="auto" w:fill="auto"/>
          </w:tcPr>
          <w:p w:rsidR="006B4656" w:rsidRPr="009A4FD1" w:rsidRDefault="002D6A3A" w:rsidP="006B46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7</w:t>
            </w:r>
            <w:r w:rsidR="006B4656" w:rsidRPr="009A4FD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.4.1</w:t>
            </w:r>
            <w:r w:rsidR="007E596E" w:rsidRPr="009A4FD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*</w:t>
            </w:r>
          </w:p>
          <w:p w:rsidR="006B4656" w:rsidRPr="009A4FD1" w:rsidRDefault="006B4656" w:rsidP="006B46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4FD1">
              <w:rPr>
                <w:rFonts w:ascii="Times New Roman" w:hAnsi="Times New Roman"/>
                <w:sz w:val="24"/>
                <w:szCs w:val="24"/>
              </w:rPr>
              <w:t>Задача 1.</w:t>
            </w:r>
          </w:p>
          <w:p w:rsidR="006B4656" w:rsidRPr="009A4FD1" w:rsidRDefault="006B4656" w:rsidP="006B46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4FD1">
              <w:rPr>
                <w:rFonts w:ascii="Times New Roman" w:hAnsi="Times New Roman"/>
                <w:sz w:val="24"/>
                <w:szCs w:val="24"/>
              </w:rPr>
              <w:t>Совершенствование механизмов финансовой и имущественной поддержки</w:t>
            </w:r>
          </w:p>
          <w:p w:rsidR="006B4656" w:rsidRPr="009A4FD1" w:rsidRDefault="006B4656" w:rsidP="006B46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u w:val="single"/>
                <w:lang w:eastAsia="ru-RU"/>
              </w:rPr>
            </w:pPr>
            <w:r w:rsidRPr="009A4FD1">
              <w:rPr>
                <w:rFonts w:ascii="Times New Roman" w:hAnsi="Times New Roman"/>
                <w:sz w:val="24"/>
                <w:szCs w:val="24"/>
              </w:rPr>
              <w:t>Предоставление субсидий субъектам малого и среднего предпринимательства</w:t>
            </w:r>
          </w:p>
        </w:tc>
        <w:tc>
          <w:tcPr>
            <w:tcW w:w="3250" w:type="dxa"/>
            <w:gridSpan w:val="2"/>
            <w:shd w:val="clear" w:color="auto" w:fill="auto"/>
          </w:tcPr>
          <w:p w:rsidR="006B4656" w:rsidRPr="009A4FD1" w:rsidRDefault="002D6A3A" w:rsidP="006B465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6B4656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.4.2.</w:t>
            </w:r>
            <w:r w:rsidR="007E596E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  <w:r w:rsidR="006B4656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Единовременные расходы (год возникновения полномочия)</w:t>
            </w:r>
          </w:p>
        </w:tc>
        <w:tc>
          <w:tcPr>
            <w:tcW w:w="3161" w:type="dxa"/>
            <w:shd w:val="clear" w:color="auto" w:fill="auto"/>
          </w:tcPr>
          <w:p w:rsidR="005A5425" w:rsidRPr="009A4FD1" w:rsidRDefault="005A5425" w:rsidP="005A54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сч</w:t>
            </w:r>
            <w:r w:rsid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бюджета</w:t>
            </w:r>
          </w:p>
          <w:p w:rsidR="005A5425" w:rsidRPr="009A4FD1" w:rsidRDefault="005A5425" w:rsidP="005A54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автономного округа:</w:t>
            </w:r>
          </w:p>
          <w:p w:rsidR="005A5425" w:rsidRPr="009A4FD1" w:rsidRDefault="005A5425" w:rsidP="005A54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2019 год - 4</w:t>
            </w:r>
            <w:r w:rsidR="007E3B94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</w:t>
            </w:r>
            <w:r w:rsidR="007E3B94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E3B94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</w:t>
            </w: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  <w:p w:rsidR="005A5425" w:rsidRPr="009A4FD1" w:rsidRDefault="005A5425" w:rsidP="005A54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2020 год – </w:t>
            </w:r>
            <w:r w:rsidR="007E3B94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7 893,1 тыс.</w:t>
            </w: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  <w:p w:rsidR="005A5425" w:rsidRPr="009A4FD1" w:rsidRDefault="005A5425" w:rsidP="005A54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2021 год </w:t>
            </w:r>
            <w:r w:rsidR="007E3B94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E3B94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2 940,4 тыс.</w:t>
            </w: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  <w:p w:rsidR="005A5425" w:rsidRPr="009A4FD1" w:rsidRDefault="005A5425" w:rsidP="005A54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2022 год – </w:t>
            </w:r>
            <w:r w:rsidR="00E9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3 010,5</w:t>
            </w:r>
            <w:r w:rsidR="007E3B94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</w:t>
            </w: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  <w:p w:rsidR="005A5425" w:rsidRPr="009A4FD1" w:rsidRDefault="005A5425" w:rsidP="005A54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2023 год - </w:t>
            </w:r>
            <w:r w:rsidR="00E9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7E3B94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</w:t>
            </w: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  <w:p w:rsidR="005A5425" w:rsidRPr="009A4FD1" w:rsidRDefault="005A5425" w:rsidP="005A54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2024 год - 0 </w:t>
            </w:r>
          </w:p>
          <w:p w:rsidR="006B4656" w:rsidRPr="009A4FD1" w:rsidRDefault="005A5425" w:rsidP="007E3B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  <w:u w:val="single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2025 год - 0</w:t>
            </w:r>
            <w:r w:rsidRPr="009A4FD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6B4656" w:rsidRPr="009A4FD1" w:rsidTr="00341A7A">
        <w:trPr>
          <w:trHeight w:val="608"/>
        </w:trPr>
        <w:tc>
          <w:tcPr>
            <w:tcW w:w="2934" w:type="dxa"/>
            <w:vMerge/>
            <w:shd w:val="clear" w:color="auto" w:fill="auto"/>
          </w:tcPr>
          <w:p w:rsidR="006B4656" w:rsidRPr="009A4FD1" w:rsidRDefault="006B4656" w:rsidP="006B46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3250" w:type="dxa"/>
            <w:gridSpan w:val="2"/>
            <w:shd w:val="clear" w:color="auto" w:fill="auto"/>
          </w:tcPr>
          <w:p w:rsidR="009C35AE" w:rsidRPr="009A4FD1" w:rsidRDefault="002D6A3A" w:rsidP="008E40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6B4656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.4.3.</w:t>
            </w:r>
            <w:r w:rsidR="007E596E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  <w:r w:rsidR="006B4656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Периодические расходы</w:t>
            </w:r>
            <w:r w:rsidR="00F47E48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период</w:t>
            </w:r>
            <w:r w:rsidR="006B4656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61" w:type="dxa"/>
            <w:shd w:val="clear" w:color="auto" w:fill="auto"/>
          </w:tcPr>
          <w:p w:rsidR="00F55506" w:rsidRPr="009A4FD1" w:rsidRDefault="00E059EC" w:rsidP="00E059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u w:val="single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Отсутствуют</w:t>
            </w:r>
          </w:p>
        </w:tc>
      </w:tr>
      <w:tr w:rsidR="006B4656" w:rsidRPr="009A4FD1" w:rsidTr="00341A7A">
        <w:trPr>
          <w:trHeight w:val="490"/>
        </w:trPr>
        <w:tc>
          <w:tcPr>
            <w:tcW w:w="2934" w:type="dxa"/>
            <w:vMerge/>
            <w:shd w:val="clear" w:color="auto" w:fill="auto"/>
          </w:tcPr>
          <w:p w:rsidR="006B4656" w:rsidRPr="009A4FD1" w:rsidRDefault="006B4656" w:rsidP="006B46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3250" w:type="dxa"/>
            <w:gridSpan w:val="2"/>
            <w:shd w:val="clear" w:color="auto" w:fill="auto"/>
          </w:tcPr>
          <w:p w:rsidR="00F47E48" w:rsidRPr="009A4FD1" w:rsidRDefault="002D6A3A" w:rsidP="006B465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6B4656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.4.4.</w:t>
            </w:r>
            <w:r w:rsidR="007E596E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  <w:r w:rsidR="00F47E48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Возможные </w:t>
            </w:r>
          </w:p>
          <w:p w:rsidR="006B4656" w:rsidRPr="009A4FD1" w:rsidRDefault="00F47E48" w:rsidP="006B465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6B4656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</w:t>
            </w:r>
            <w:r w:rsidR="007E596E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упления за период</w:t>
            </w:r>
          </w:p>
        </w:tc>
        <w:tc>
          <w:tcPr>
            <w:tcW w:w="3161" w:type="dxa"/>
            <w:shd w:val="clear" w:color="auto" w:fill="auto"/>
          </w:tcPr>
          <w:p w:rsidR="006B4656" w:rsidRPr="009A4FD1" w:rsidRDefault="007E596E" w:rsidP="007E59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Отсутствуют</w:t>
            </w:r>
          </w:p>
        </w:tc>
      </w:tr>
      <w:tr w:rsidR="006B4656" w:rsidRPr="009A4FD1" w:rsidTr="00341A7A">
        <w:trPr>
          <w:trHeight w:val="399"/>
        </w:trPr>
        <w:tc>
          <w:tcPr>
            <w:tcW w:w="6184" w:type="dxa"/>
            <w:gridSpan w:val="3"/>
            <w:shd w:val="clear" w:color="auto" w:fill="auto"/>
          </w:tcPr>
          <w:p w:rsidR="006B4656" w:rsidRPr="009A4FD1" w:rsidRDefault="002D6A3A" w:rsidP="006B465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6B4656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.5. Итого единовременные расходы:</w:t>
            </w:r>
          </w:p>
        </w:tc>
        <w:tc>
          <w:tcPr>
            <w:tcW w:w="3161" w:type="dxa"/>
            <w:shd w:val="clear" w:color="auto" w:fill="auto"/>
          </w:tcPr>
          <w:p w:rsidR="007E596E" w:rsidRPr="009A4FD1" w:rsidRDefault="00E967D5" w:rsidP="007E3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18 404,1</w:t>
            </w:r>
            <w:r w:rsidR="007E596E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E3B94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</w:t>
            </w:r>
            <w:r w:rsidR="007E596E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6B4656" w:rsidRPr="009A4FD1" w:rsidTr="00341A7A">
        <w:trPr>
          <w:trHeight w:val="420"/>
        </w:trPr>
        <w:tc>
          <w:tcPr>
            <w:tcW w:w="6184" w:type="dxa"/>
            <w:gridSpan w:val="3"/>
            <w:shd w:val="clear" w:color="auto" w:fill="auto"/>
          </w:tcPr>
          <w:p w:rsidR="006B4656" w:rsidRPr="009A4FD1" w:rsidRDefault="002D6A3A" w:rsidP="006B465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6B4656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.6. Итого периодические расходы</w:t>
            </w:r>
            <w:r w:rsidR="00CC5A5A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год</w:t>
            </w:r>
            <w:r w:rsidR="006B4656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61" w:type="dxa"/>
            <w:shd w:val="clear" w:color="auto" w:fill="auto"/>
          </w:tcPr>
          <w:p w:rsidR="006B4656" w:rsidRPr="009A4FD1" w:rsidRDefault="007E596E" w:rsidP="006B46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B4656" w:rsidRPr="009A4FD1" w:rsidTr="00341A7A">
        <w:trPr>
          <w:trHeight w:val="411"/>
        </w:trPr>
        <w:tc>
          <w:tcPr>
            <w:tcW w:w="6184" w:type="dxa"/>
            <w:gridSpan w:val="3"/>
            <w:shd w:val="clear" w:color="auto" w:fill="auto"/>
          </w:tcPr>
          <w:p w:rsidR="006B4656" w:rsidRPr="009A4FD1" w:rsidRDefault="002D6A3A" w:rsidP="002D6A3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61D8C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6B4656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 Итого </w:t>
            </w:r>
            <w:r w:rsidR="00F61D8C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возможные </w:t>
            </w:r>
            <w:r w:rsidR="006B4656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поступления</w:t>
            </w:r>
            <w:r w:rsidR="00CC5A5A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год</w:t>
            </w:r>
            <w:r w:rsidR="006B4656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61" w:type="dxa"/>
            <w:shd w:val="clear" w:color="auto" w:fill="auto"/>
          </w:tcPr>
          <w:p w:rsidR="006B4656" w:rsidRPr="009A4FD1" w:rsidRDefault="007E596E" w:rsidP="006B46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5A1FF8" w:rsidRPr="009A4FD1" w:rsidTr="005A1FF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345" w:type="dxa"/>
            <w:gridSpan w:val="4"/>
          </w:tcPr>
          <w:p w:rsidR="005A1FF8" w:rsidRPr="009A4FD1" w:rsidRDefault="002D6A3A" w:rsidP="005A1F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F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1FF8" w:rsidRPr="009A4FD1">
              <w:rPr>
                <w:rFonts w:ascii="Times New Roman" w:hAnsi="Times New Roman" w:cs="Times New Roman"/>
                <w:sz w:val="24"/>
                <w:szCs w:val="24"/>
              </w:rPr>
              <w:t xml:space="preserve">.8. Наименование субъекта предпринимательской и инвестиционной деятельности: </w:t>
            </w:r>
          </w:p>
          <w:p w:rsidR="007E596E" w:rsidRPr="009A4FD1" w:rsidRDefault="007E596E" w:rsidP="005A1F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4F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Субъекты малого и среднего предпринимательства,</w:t>
            </w:r>
            <w:r w:rsidRPr="009A4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отнесенные в соответствии с условиями, установленными Федеральным законом от 24.07.2007 </w:t>
            </w:r>
            <w:hyperlink r:id="rId10" w:history="1">
              <w:r w:rsidRPr="009A4FD1">
                <w:rPr>
                  <w:rStyle w:val="a3"/>
                  <w:rFonts w:ascii="Times New Roman" w:hAnsi="Times New Roman"/>
                  <w:sz w:val="24"/>
                  <w:szCs w:val="24"/>
                </w:rPr>
                <w:t>№209-ФЗ</w:t>
              </w:r>
            </w:hyperlink>
          </w:p>
        </w:tc>
      </w:tr>
      <w:tr w:rsidR="005A1FF8" w:rsidRPr="009A4FD1" w:rsidTr="00441BD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464"/>
        </w:trPr>
        <w:tc>
          <w:tcPr>
            <w:tcW w:w="3087" w:type="dxa"/>
            <w:gridSpan w:val="2"/>
            <w:vMerge w:val="restart"/>
          </w:tcPr>
          <w:p w:rsidR="005A1FF8" w:rsidRPr="009A4FD1" w:rsidRDefault="002D6A3A" w:rsidP="007911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4F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1FF8" w:rsidRPr="009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4FD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5A5425" w:rsidRPr="009A4F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E596E" w:rsidRPr="009A4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</w:t>
            </w:r>
            <w:r w:rsidR="0079119A" w:rsidRPr="009A4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информации о достижении показателя результативности субъектами малого и среднего предпринимательства </w:t>
            </w:r>
          </w:p>
        </w:tc>
        <w:tc>
          <w:tcPr>
            <w:tcW w:w="3097" w:type="dxa"/>
          </w:tcPr>
          <w:p w:rsidR="005A1FF8" w:rsidRPr="009A4FD1" w:rsidRDefault="002D6A3A" w:rsidP="001703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F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1FF8" w:rsidRPr="009A4FD1">
              <w:rPr>
                <w:rFonts w:ascii="Times New Roman" w:hAnsi="Times New Roman" w:cs="Times New Roman"/>
                <w:sz w:val="24"/>
                <w:szCs w:val="24"/>
              </w:rPr>
              <w:t>.8.2.</w:t>
            </w:r>
            <w:r w:rsidR="000C2C0D" w:rsidRPr="009A4FD1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</w:t>
            </w:r>
            <w:r w:rsidR="005A1FF8" w:rsidRPr="009A4FD1">
              <w:rPr>
                <w:rFonts w:ascii="Times New Roman" w:hAnsi="Times New Roman" w:cs="Times New Roman"/>
                <w:sz w:val="24"/>
                <w:szCs w:val="24"/>
              </w:rPr>
              <w:t>(год возникновения):</w:t>
            </w:r>
          </w:p>
        </w:tc>
        <w:tc>
          <w:tcPr>
            <w:tcW w:w="3161" w:type="dxa"/>
          </w:tcPr>
          <w:p w:rsidR="002F0BB8" w:rsidRPr="009A4FD1" w:rsidRDefault="002F0BB8" w:rsidP="002F0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FD1">
              <w:rPr>
                <w:rFonts w:ascii="Times New Roman" w:hAnsi="Times New Roman"/>
                <w:sz w:val="24"/>
                <w:szCs w:val="24"/>
              </w:rPr>
              <w:t xml:space="preserve">Издержки субъектов малого и среднего предпринимательства, связанные с выполнением единовременного информационного требования, с учетом </w:t>
            </w:r>
            <w:r w:rsidR="00E059EC" w:rsidRPr="009A4FD1">
              <w:rPr>
                <w:rFonts w:ascii="Times New Roman" w:hAnsi="Times New Roman"/>
                <w:sz w:val="24"/>
                <w:szCs w:val="24"/>
              </w:rPr>
              <w:t>транспортных расходов, составляю</w:t>
            </w:r>
            <w:r w:rsidRPr="009A4FD1">
              <w:rPr>
                <w:rFonts w:ascii="Times New Roman" w:hAnsi="Times New Roman"/>
                <w:sz w:val="24"/>
                <w:szCs w:val="24"/>
              </w:rPr>
              <w:t>т:</w:t>
            </w:r>
          </w:p>
          <w:p w:rsidR="005A1FF8" w:rsidRPr="009A4FD1" w:rsidRDefault="00441BD6" w:rsidP="00441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BD6">
              <w:rPr>
                <w:rFonts w:ascii="Times New Roman" w:hAnsi="Times New Roman"/>
                <w:sz w:val="24"/>
              </w:rPr>
              <w:t>И</w:t>
            </w:r>
            <w:r w:rsidRPr="00441BD6">
              <w:rPr>
                <w:rFonts w:ascii="Times New Roman" w:hAnsi="Times New Roman"/>
                <w:sz w:val="18"/>
                <w:vertAlign w:val="subscript"/>
              </w:rPr>
              <w:t>ИТ1</w:t>
            </w:r>
            <w:r w:rsidRPr="00441BD6">
              <w:rPr>
                <w:rFonts w:ascii="Times New Roman" w:hAnsi="Times New Roman"/>
                <w:sz w:val="24"/>
              </w:rPr>
              <w:t xml:space="preserve"> = </w:t>
            </w:r>
            <w:r w:rsidRPr="00441BD6">
              <w:rPr>
                <w:rFonts w:ascii="Times New Roman" w:hAnsi="Times New Roman"/>
                <w:sz w:val="24"/>
                <w:lang w:val="en-US"/>
              </w:rPr>
              <w:t>t</w:t>
            </w:r>
            <w:r w:rsidRPr="00441BD6">
              <w:rPr>
                <w:rFonts w:ascii="Times New Roman" w:hAnsi="Times New Roman"/>
                <w:sz w:val="18"/>
                <w:vertAlign w:val="subscript"/>
              </w:rPr>
              <w:t>ИТ</w:t>
            </w:r>
            <w:r w:rsidRPr="00441BD6">
              <w:rPr>
                <w:rFonts w:ascii="Times New Roman" w:hAnsi="Times New Roman"/>
                <w:sz w:val="24"/>
              </w:rPr>
              <w:t>*</w:t>
            </w:r>
            <w:r w:rsidRPr="00441BD6">
              <w:rPr>
                <w:rFonts w:ascii="Times New Roman" w:hAnsi="Times New Roman"/>
                <w:sz w:val="24"/>
                <w:lang w:val="en-US"/>
              </w:rPr>
              <w:t>W</w:t>
            </w:r>
            <w:r w:rsidRPr="00441BD6">
              <w:rPr>
                <w:rFonts w:ascii="Times New Roman" w:hAnsi="Times New Roman"/>
                <w:sz w:val="24"/>
              </w:rPr>
              <w:t>+А</w:t>
            </w:r>
            <w:r w:rsidRPr="00441BD6">
              <w:rPr>
                <w:rFonts w:ascii="Times New Roman" w:hAnsi="Times New Roman"/>
                <w:sz w:val="18"/>
                <w:vertAlign w:val="subscript"/>
              </w:rPr>
              <w:t>ИЭ</w:t>
            </w:r>
            <w:r w:rsidRPr="00441BD6">
              <w:rPr>
                <w:rFonts w:ascii="Times New Roman" w:hAnsi="Times New Roman"/>
                <w:sz w:val="24"/>
              </w:rPr>
              <w:t>+А</w:t>
            </w:r>
            <w:r w:rsidRPr="00441BD6">
              <w:rPr>
                <w:rFonts w:ascii="Times New Roman" w:hAnsi="Times New Roman"/>
                <w:sz w:val="18"/>
                <w:vertAlign w:val="subscript"/>
              </w:rPr>
              <w:t>ТР</w:t>
            </w:r>
            <w:r w:rsidRPr="00441BD6">
              <w:rPr>
                <w:rFonts w:ascii="Times New Roman" w:hAnsi="Times New Roman"/>
                <w:sz w:val="24"/>
              </w:rPr>
              <w:t xml:space="preserve"> = (24*492,67 +1 990,0+180,0) = 13 994,08 </w:t>
            </w:r>
            <w:r w:rsidRPr="009A4FD1">
              <w:rPr>
                <w:rFonts w:ascii="Times New Roman" w:hAnsi="Times New Roman"/>
                <w:sz w:val="24"/>
                <w:szCs w:val="24"/>
              </w:rPr>
              <w:t>рублей в год</w:t>
            </w:r>
          </w:p>
        </w:tc>
      </w:tr>
      <w:tr w:rsidR="005A1FF8" w:rsidRPr="009A4FD1" w:rsidTr="00341A7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087" w:type="dxa"/>
            <w:gridSpan w:val="2"/>
            <w:vMerge/>
          </w:tcPr>
          <w:p w:rsidR="005A1FF8" w:rsidRPr="009A4FD1" w:rsidRDefault="005A1FF8" w:rsidP="00F904E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97" w:type="dxa"/>
          </w:tcPr>
          <w:p w:rsidR="005A1FF8" w:rsidRPr="009A4FD1" w:rsidRDefault="002D6A3A" w:rsidP="001171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4FD1">
              <w:rPr>
                <w:rFonts w:ascii="Times New Roman" w:hAnsi="Times New Roman"/>
                <w:sz w:val="24"/>
                <w:szCs w:val="24"/>
              </w:rPr>
              <w:t>7</w:t>
            </w:r>
            <w:r w:rsidR="005A1FF8" w:rsidRPr="009A4FD1">
              <w:rPr>
                <w:rFonts w:ascii="Times New Roman" w:hAnsi="Times New Roman"/>
                <w:sz w:val="24"/>
                <w:szCs w:val="24"/>
              </w:rPr>
              <w:t>.8.3. Периодические расходы за период</w:t>
            </w:r>
          </w:p>
        </w:tc>
        <w:tc>
          <w:tcPr>
            <w:tcW w:w="3161" w:type="dxa"/>
          </w:tcPr>
          <w:p w:rsidR="005A1FF8" w:rsidRPr="009A4FD1" w:rsidRDefault="0079119A" w:rsidP="00791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5A1FF8" w:rsidRPr="009A4FD1" w:rsidTr="00341A7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184" w:type="dxa"/>
            <w:gridSpan w:val="3"/>
          </w:tcPr>
          <w:p w:rsidR="005A1FF8" w:rsidRPr="009A4FD1" w:rsidRDefault="00305EE8" w:rsidP="00F90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5A1FF8" w:rsidRPr="009A4FD1">
              <w:rPr>
                <w:rFonts w:ascii="Times New Roman" w:hAnsi="Times New Roman" w:cs="Times New Roman"/>
                <w:sz w:val="24"/>
                <w:szCs w:val="24"/>
              </w:rPr>
              <w:t>.9. Итого единовременные расходы:</w:t>
            </w:r>
          </w:p>
        </w:tc>
        <w:tc>
          <w:tcPr>
            <w:tcW w:w="3161" w:type="dxa"/>
          </w:tcPr>
          <w:p w:rsidR="005A1FF8" w:rsidRPr="009A4FD1" w:rsidRDefault="001C2A95" w:rsidP="00441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1BD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1BD6">
              <w:rPr>
                <w:rFonts w:ascii="Times New Roman" w:hAnsi="Times New Roman"/>
                <w:sz w:val="24"/>
                <w:szCs w:val="24"/>
              </w:rPr>
              <w:t>994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="00441BD6">
              <w:rPr>
                <w:rFonts w:ascii="Times New Roman" w:hAnsi="Times New Roman"/>
                <w:sz w:val="24"/>
                <w:szCs w:val="24"/>
              </w:rPr>
              <w:t>8</w:t>
            </w:r>
            <w:r w:rsidRPr="009A4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7128" w:rsidRPr="009A4FD1">
              <w:rPr>
                <w:rFonts w:ascii="Times New Roman" w:hAnsi="Times New Roman"/>
                <w:sz w:val="24"/>
                <w:szCs w:val="24"/>
              </w:rPr>
              <w:t>рублей в год</w:t>
            </w:r>
          </w:p>
        </w:tc>
      </w:tr>
      <w:tr w:rsidR="005A1FF8" w:rsidRPr="009A4FD1" w:rsidTr="00341A7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184" w:type="dxa"/>
            <w:gridSpan w:val="3"/>
          </w:tcPr>
          <w:p w:rsidR="005A1FF8" w:rsidRPr="009A4FD1" w:rsidRDefault="00305EE8" w:rsidP="00F90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F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1FF8" w:rsidRPr="009A4FD1">
              <w:rPr>
                <w:rFonts w:ascii="Times New Roman" w:hAnsi="Times New Roman" w:cs="Times New Roman"/>
                <w:sz w:val="24"/>
                <w:szCs w:val="24"/>
              </w:rPr>
              <w:t>.10. Итого периодические расходы за год:</w:t>
            </w:r>
          </w:p>
        </w:tc>
        <w:tc>
          <w:tcPr>
            <w:tcW w:w="3161" w:type="dxa"/>
          </w:tcPr>
          <w:p w:rsidR="005A1FF8" w:rsidRPr="009A4FD1" w:rsidRDefault="0079119A" w:rsidP="0079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D1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A1FF8" w:rsidRPr="009A4FD1" w:rsidTr="00134F7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345" w:type="dxa"/>
            <w:gridSpan w:val="4"/>
            <w:shd w:val="clear" w:color="auto" w:fill="auto"/>
          </w:tcPr>
          <w:p w:rsidR="005A1FF8" w:rsidRPr="009A4FD1" w:rsidRDefault="00305EE8" w:rsidP="00F90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F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1FF8" w:rsidRPr="009A4FD1">
              <w:rPr>
                <w:rFonts w:ascii="Times New Roman" w:hAnsi="Times New Roman" w:cs="Times New Roman"/>
                <w:sz w:val="24"/>
                <w:szCs w:val="24"/>
              </w:rPr>
              <w:t>.11. Иные сведения о расходах (возможных поступлениях) субъектов отношений:</w:t>
            </w:r>
          </w:p>
          <w:p w:rsidR="005A1FF8" w:rsidRPr="009A4FD1" w:rsidRDefault="005A1FF8" w:rsidP="009F7F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FD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1703C5" w:rsidRPr="009A4FD1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1703C5" w:rsidRPr="009A4F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Отсутсттвуют</w:t>
            </w:r>
            <w:r w:rsidRPr="009A4FD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1703C5" w:rsidRPr="009A4FD1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  <w:tr w:rsidR="005A1FF8" w:rsidRPr="009A4FD1" w:rsidTr="00134F7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345" w:type="dxa"/>
            <w:gridSpan w:val="4"/>
            <w:shd w:val="clear" w:color="auto" w:fill="auto"/>
          </w:tcPr>
          <w:p w:rsidR="005A1FF8" w:rsidRPr="009A4FD1" w:rsidRDefault="00305EE8" w:rsidP="00F90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F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1FF8" w:rsidRPr="009A4FD1">
              <w:rPr>
                <w:rFonts w:ascii="Times New Roman" w:hAnsi="Times New Roman" w:cs="Times New Roman"/>
                <w:sz w:val="24"/>
                <w:szCs w:val="24"/>
              </w:rPr>
              <w:t>.12. Источники данных:</w:t>
            </w:r>
          </w:p>
          <w:p w:rsidR="005A1FF8" w:rsidRPr="009A4FD1" w:rsidRDefault="00117128" w:rsidP="0056413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FD1">
              <w:rPr>
                <w:rFonts w:ascii="Times New Roman" w:hAnsi="Times New Roman"/>
                <w:sz w:val="24"/>
                <w:szCs w:val="24"/>
              </w:rPr>
              <w:t xml:space="preserve">Отдел развития промышленности и поддержки предпринимательства департамента </w:t>
            </w:r>
            <w:r w:rsidR="00AD1ADA" w:rsidRPr="009A4FD1">
              <w:rPr>
                <w:rFonts w:ascii="Times New Roman" w:hAnsi="Times New Roman"/>
                <w:sz w:val="24"/>
                <w:szCs w:val="24"/>
              </w:rPr>
              <w:t>территориального</w:t>
            </w:r>
            <w:r w:rsidRPr="009A4FD1">
              <w:rPr>
                <w:rFonts w:ascii="Times New Roman" w:hAnsi="Times New Roman"/>
                <w:sz w:val="24"/>
                <w:szCs w:val="24"/>
              </w:rPr>
              <w:t xml:space="preserve"> развития</w:t>
            </w:r>
            <w:r w:rsidR="00AD1ADA" w:rsidRPr="009A4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4FD1">
              <w:rPr>
                <w:rFonts w:ascii="Times New Roman" w:hAnsi="Times New Roman"/>
                <w:sz w:val="24"/>
                <w:szCs w:val="24"/>
              </w:rPr>
              <w:t xml:space="preserve">администрации города, </w:t>
            </w:r>
            <w:r w:rsidR="001703C5" w:rsidRPr="009A4FD1">
              <w:rPr>
                <w:rFonts w:ascii="Times New Roman" w:hAnsi="Times New Roman"/>
                <w:sz w:val="24"/>
                <w:szCs w:val="24"/>
              </w:rPr>
              <w:t>Департамент финансов администрации города</w:t>
            </w:r>
            <w:r w:rsidR="002F0BB8" w:rsidRPr="009A4FD1">
              <w:rPr>
                <w:rFonts w:ascii="Times New Roman" w:hAnsi="Times New Roman"/>
                <w:sz w:val="24"/>
                <w:szCs w:val="24"/>
              </w:rPr>
              <w:t>, расчет стандартных издержек субъектов предпринимательской и инвестиционной деятельности</w:t>
            </w:r>
          </w:p>
        </w:tc>
      </w:tr>
    </w:tbl>
    <w:p w:rsidR="00F47E48" w:rsidRPr="009A4FD1" w:rsidRDefault="00F47E48" w:rsidP="00AF70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AF700B" w:rsidRPr="00174B4E" w:rsidRDefault="00117128" w:rsidP="00AF70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B4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AF700B" w:rsidRPr="00174B4E">
        <w:rPr>
          <w:rFonts w:ascii="Times New Roman" w:eastAsia="Times New Roman" w:hAnsi="Times New Roman"/>
          <w:sz w:val="24"/>
          <w:szCs w:val="24"/>
          <w:lang w:eastAsia="ru-RU"/>
        </w:rPr>
        <w:t>. Индикативные показатели, программы мониторинга и иные</w:t>
      </w:r>
    </w:p>
    <w:p w:rsidR="00AF700B" w:rsidRPr="00174B4E" w:rsidRDefault="00AF700B" w:rsidP="00AF70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B4E">
        <w:rPr>
          <w:rFonts w:ascii="Times New Roman" w:eastAsia="Times New Roman" w:hAnsi="Times New Roman"/>
          <w:sz w:val="24"/>
          <w:szCs w:val="24"/>
          <w:lang w:eastAsia="ru-RU"/>
        </w:rPr>
        <w:t>способы (методы) оценки достижения заявленных целей</w:t>
      </w:r>
    </w:p>
    <w:p w:rsidR="00AF700B" w:rsidRPr="00174B4E" w:rsidRDefault="00AF700B" w:rsidP="00AF70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B4E">
        <w:rPr>
          <w:rFonts w:ascii="Times New Roman" w:eastAsia="Times New Roman" w:hAnsi="Times New Roman"/>
          <w:sz w:val="24"/>
          <w:szCs w:val="24"/>
          <w:lang w:eastAsia="ru-RU"/>
        </w:rPr>
        <w:t>регулирования</w:t>
      </w:r>
    </w:p>
    <w:p w:rsidR="00AF700B" w:rsidRPr="009A4FD1" w:rsidRDefault="00AF700B" w:rsidP="00AF70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438"/>
        <w:gridCol w:w="2438"/>
        <w:gridCol w:w="2381"/>
      </w:tblGrid>
      <w:tr w:rsidR="00AF700B" w:rsidRPr="009A4FD1" w:rsidTr="00060C65">
        <w:tc>
          <w:tcPr>
            <w:tcW w:w="2381" w:type="dxa"/>
          </w:tcPr>
          <w:p w:rsidR="00AF700B" w:rsidRPr="009A4FD1" w:rsidRDefault="00117128" w:rsidP="00AF70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EF4AAD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  <w:r w:rsidR="00AF700B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Цели предлагаемого регулирования </w:t>
            </w:r>
            <w:hyperlink w:anchor="P853" w:history="1">
              <w:r w:rsidR="00AF700B" w:rsidRPr="009A4FD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2438" w:type="dxa"/>
          </w:tcPr>
          <w:p w:rsidR="00AF700B" w:rsidRPr="009A4FD1" w:rsidRDefault="00117128" w:rsidP="00AF70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EF4AAD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  <w:r w:rsidR="00AF700B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Индикативные показатели (ед. изм</w:t>
            </w: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F700B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38" w:type="dxa"/>
          </w:tcPr>
          <w:p w:rsidR="00AF700B" w:rsidRPr="009A4FD1" w:rsidRDefault="00117128" w:rsidP="00AF70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EF4AAD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  <w:r w:rsidR="00AF700B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расчета индикативных показателей</w:t>
            </w:r>
          </w:p>
        </w:tc>
        <w:tc>
          <w:tcPr>
            <w:tcW w:w="2381" w:type="dxa"/>
          </w:tcPr>
          <w:p w:rsidR="00AF700B" w:rsidRPr="009A4FD1" w:rsidRDefault="00117128" w:rsidP="00AF70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EF4AAD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</w:t>
            </w:r>
            <w:r w:rsidR="00AF700B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достижения целей</w:t>
            </w:r>
          </w:p>
        </w:tc>
      </w:tr>
      <w:tr w:rsidR="00060C65" w:rsidRPr="009A4FD1" w:rsidTr="00DE09F3">
        <w:tc>
          <w:tcPr>
            <w:tcW w:w="2381" w:type="dxa"/>
            <w:vMerge w:val="restart"/>
          </w:tcPr>
          <w:p w:rsidR="00060C65" w:rsidRPr="009A4FD1" w:rsidRDefault="00060C65" w:rsidP="00AF70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lang w:eastAsia="ru-RU"/>
              </w:rPr>
              <w:t>Цель:</w:t>
            </w:r>
            <w:r w:rsidRPr="009A4FD1">
              <w:rPr>
                <w:rFonts w:ascii="Times New Roman" w:hAnsi="Times New Roman"/>
              </w:rPr>
              <w:t xml:space="preserve"> Повышение роли малого и среднего предпринимательства в экономике городского округа город Мегион</w:t>
            </w:r>
            <w:r w:rsidR="00E059EC" w:rsidRPr="009A4FD1">
              <w:rPr>
                <w:rFonts w:ascii="Times New Roman" w:hAnsi="Times New Roman"/>
              </w:rPr>
              <w:t>, создание благоприятного климата для ведения бизнеса в городе Мегион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AD1ADA" w:rsidRPr="009A4FD1" w:rsidRDefault="00060C65" w:rsidP="003804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A4FD1">
              <w:rPr>
                <w:rFonts w:ascii="Times New Roman" w:hAnsi="Times New Roman"/>
                <w:lang w:eastAsia="ru-RU"/>
              </w:rPr>
              <w:t xml:space="preserve"> </w:t>
            </w:r>
            <w:r w:rsidR="00AD1ADA" w:rsidRPr="009A4FD1">
              <w:rPr>
                <w:rFonts w:ascii="Times New Roman" w:hAnsi="Times New Roman"/>
                <w:lang w:eastAsia="ru-RU"/>
              </w:rPr>
              <w:t>Численность занятых в сфере МСП, включая индивидуальных предпринимателей и самозанятых</w:t>
            </w:r>
          </w:p>
          <w:p w:rsidR="00060C65" w:rsidRPr="009A4FD1" w:rsidRDefault="00117128" w:rsidP="003804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A4FD1">
              <w:rPr>
                <w:rFonts w:ascii="Times New Roman" w:hAnsi="Times New Roman"/>
                <w:lang w:eastAsia="ru-RU"/>
              </w:rPr>
              <w:t>тыс. чел.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060C65" w:rsidRPr="009A4FD1" w:rsidRDefault="00F31DDE" w:rsidP="003636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A4FD1">
              <w:rPr>
                <w:rFonts w:ascii="Times New Roman" w:eastAsia="Times New Roman" w:hAnsi="Times New Roman"/>
                <w:lang w:eastAsia="ru-RU"/>
              </w:rPr>
              <w:t xml:space="preserve">Значение показателей рассчитывается </w:t>
            </w:r>
            <w:r w:rsidR="009A4FD1" w:rsidRPr="009A4FD1">
              <w:rPr>
                <w:rFonts w:ascii="Times New Roman" w:eastAsia="Times New Roman" w:hAnsi="Times New Roman"/>
                <w:lang w:eastAsia="ru-RU"/>
              </w:rPr>
              <w:t>исходя из</w:t>
            </w:r>
            <w:r w:rsidR="00986B1F" w:rsidRPr="009A4FD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63653" w:rsidRPr="009A4FD1">
              <w:rPr>
                <w:rFonts w:ascii="Times New Roman" w:hAnsi="Times New Roman"/>
              </w:rPr>
              <w:t>суммирования среднесписочной численности работников (без внешних совместителей) малых (микро) и средних предприятий</w:t>
            </w:r>
          </w:p>
          <w:p w:rsidR="006D55E9" w:rsidRPr="009A4FD1" w:rsidRDefault="006D55E9" w:rsidP="003636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lang w:eastAsia="ru-RU"/>
              </w:rPr>
              <w:t xml:space="preserve">Значение показателей рассчитывается исходя  из </w:t>
            </w:r>
            <w:r w:rsidRPr="009A4FD1">
              <w:rPr>
                <w:rFonts w:ascii="Times New Roman" w:hAnsi="Times New Roman"/>
              </w:rPr>
              <w:t>данных Единого реестра субъектов малого и среднего предпринимательства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060C65" w:rsidRPr="009A4FD1" w:rsidRDefault="00986B1F" w:rsidP="00AF7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lang w:eastAsia="ru-RU"/>
              </w:rPr>
              <w:t>По итогам года</w:t>
            </w:r>
          </w:p>
        </w:tc>
      </w:tr>
      <w:tr w:rsidR="00986B1F" w:rsidRPr="009A4FD1" w:rsidTr="00DE09F3">
        <w:tc>
          <w:tcPr>
            <w:tcW w:w="2381" w:type="dxa"/>
            <w:vMerge/>
          </w:tcPr>
          <w:p w:rsidR="00986B1F" w:rsidRPr="009A4FD1" w:rsidRDefault="00986B1F" w:rsidP="00986B1F">
            <w:pPr>
              <w:spacing w:after="160" w:line="259" w:lineRule="auto"/>
              <w:rPr>
                <w:rFonts w:ascii="Times New Roman" w:eastAsiaTheme="minorHAnsi" w:hAnsi="Times New Roman"/>
                <w:highlight w:val="yellow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6B1F" w:rsidRPr="009A4FD1" w:rsidRDefault="00AD1ADA" w:rsidP="00AD1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A4FD1">
              <w:rPr>
                <w:rFonts w:ascii="Times New Roman" w:hAnsi="Times New Roman"/>
                <w:lang w:eastAsia="ru-RU"/>
              </w:rPr>
              <w:t>Количество субъектов МСП - получателей финансовой поддержки, единиц</w:t>
            </w:r>
          </w:p>
        </w:tc>
        <w:tc>
          <w:tcPr>
            <w:tcW w:w="2438" w:type="dxa"/>
            <w:tcBorders>
              <w:top w:val="single" w:sz="4" w:space="0" w:color="auto"/>
            </w:tcBorders>
            <w:shd w:val="clear" w:color="auto" w:fill="auto"/>
          </w:tcPr>
          <w:p w:rsidR="00986B1F" w:rsidRPr="009A4FD1" w:rsidRDefault="006D55E9" w:rsidP="006D55E9">
            <w:pPr>
              <w:widowControl w:val="0"/>
              <w:autoSpaceDE w:val="0"/>
              <w:autoSpaceDN w:val="0"/>
              <w:spacing w:after="0" w:line="240" w:lineRule="auto"/>
            </w:pPr>
            <w:r w:rsidRPr="009A4FD1">
              <w:rPr>
                <w:rFonts w:ascii="Times New Roman" w:eastAsia="Times New Roman" w:hAnsi="Times New Roman"/>
                <w:lang w:eastAsia="ru-RU"/>
              </w:rPr>
              <w:t xml:space="preserve">Значение показателей рассчитывается исходя  из </w:t>
            </w:r>
            <w:r w:rsidRPr="009A4FD1">
              <w:rPr>
                <w:rFonts w:ascii="Times New Roman" w:hAnsi="Times New Roman"/>
              </w:rPr>
              <w:t>суммирования количества субъектов МСП, получивших финансовую поддержку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auto"/>
          </w:tcPr>
          <w:p w:rsidR="00986B1F" w:rsidRPr="009A4FD1" w:rsidRDefault="00986B1F" w:rsidP="00986B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lang w:eastAsia="ru-RU"/>
              </w:rPr>
              <w:t>По итогам года</w:t>
            </w:r>
          </w:p>
        </w:tc>
      </w:tr>
      <w:tr w:rsidR="006E1D3A" w:rsidRPr="009A4FD1" w:rsidTr="00D94AB8">
        <w:tc>
          <w:tcPr>
            <w:tcW w:w="2381" w:type="dxa"/>
            <w:vMerge/>
          </w:tcPr>
          <w:p w:rsidR="006E1D3A" w:rsidRPr="009A4FD1" w:rsidRDefault="006E1D3A" w:rsidP="006E1D3A">
            <w:pPr>
              <w:spacing w:after="160" w:line="259" w:lineRule="auto"/>
              <w:rPr>
                <w:rFonts w:ascii="Times New Roman" w:eastAsiaTheme="minorHAnsi" w:hAnsi="Times New Roman"/>
                <w:highlight w:val="yellow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1D3A" w:rsidRPr="009A4FD1" w:rsidRDefault="00AD1ADA" w:rsidP="006E1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A4FD1">
              <w:rPr>
                <w:rFonts w:ascii="Times New Roman" w:hAnsi="Times New Roman"/>
              </w:rPr>
              <w:t>Количество новых рабочих мест, созданных субъектами МСП - получателями финансовой поддержки, единиц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</w:tcPr>
          <w:p w:rsidR="006E1D3A" w:rsidRPr="009A4FD1" w:rsidRDefault="006D55E9" w:rsidP="006D55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9A4FD1">
              <w:rPr>
                <w:rFonts w:ascii="Times New Roman" w:hAnsi="Times New Roman"/>
              </w:rPr>
              <w:t>Значение показателей рассчитывается исходя  из суммирования количества созданных новых рабочих мест,  субъектами МСП – получившими финансовую поддержку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6E1D3A" w:rsidRPr="009A4FD1" w:rsidRDefault="006E1D3A" w:rsidP="006E1D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lang w:eastAsia="ru-RU"/>
              </w:rPr>
              <w:t>По итогам года</w:t>
            </w:r>
          </w:p>
        </w:tc>
      </w:tr>
      <w:tr w:rsidR="006E1D3A" w:rsidRPr="009A4FD1" w:rsidTr="00060C65">
        <w:tc>
          <w:tcPr>
            <w:tcW w:w="9638" w:type="dxa"/>
            <w:gridSpan w:val="4"/>
          </w:tcPr>
          <w:p w:rsidR="006E1D3A" w:rsidRPr="009A4FD1" w:rsidRDefault="00117128" w:rsidP="006E1D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  <w:r w:rsidR="006E1D3A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.5. Информация о программах мониторинга и иных способах (методах) оценки достижения заявленных целей регулирования:</w:t>
            </w:r>
          </w:p>
          <w:p w:rsidR="006E1D3A" w:rsidRPr="009A4FD1" w:rsidRDefault="006E1D3A" w:rsidP="006D55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достижений заявленной цели осуществляется посредством </w:t>
            </w:r>
            <w:r w:rsidR="009F7F3E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ежегодного подсчета</w:t>
            </w: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показателей </w:t>
            </w:r>
            <w:r w:rsidR="009F7F3E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оценки эффективности деятельности органов администрации города отделом развития промышленности и поддержки предпринимательства</w:t>
            </w: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департамент</w:t>
            </w:r>
            <w:r w:rsidR="009F7F3E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D55E9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территориального</w:t>
            </w:r>
            <w:r w:rsidR="003804F4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развития </w:t>
            </w: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6E1D3A" w:rsidRPr="009A4FD1" w:rsidTr="00060C65">
        <w:tc>
          <w:tcPr>
            <w:tcW w:w="4819" w:type="dxa"/>
            <w:gridSpan w:val="2"/>
          </w:tcPr>
          <w:p w:rsidR="006E1D3A" w:rsidRPr="009A4FD1" w:rsidRDefault="00117128" w:rsidP="006E1D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6E1D3A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.6. Оценка затрат на осуществление мониторинга (в среднем в год):</w:t>
            </w:r>
          </w:p>
        </w:tc>
        <w:tc>
          <w:tcPr>
            <w:tcW w:w="4819" w:type="dxa"/>
            <w:gridSpan w:val="2"/>
          </w:tcPr>
          <w:p w:rsidR="006E1D3A" w:rsidRPr="009A4FD1" w:rsidRDefault="006E1D3A" w:rsidP="006E1D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Затраты отсутствуют</w:t>
            </w:r>
          </w:p>
        </w:tc>
      </w:tr>
      <w:tr w:rsidR="006E1D3A" w:rsidRPr="009A4FD1" w:rsidTr="00060C65">
        <w:tc>
          <w:tcPr>
            <w:tcW w:w="9638" w:type="dxa"/>
            <w:gridSpan w:val="4"/>
          </w:tcPr>
          <w:p w:rsidR="006E1D3A" w:rsidRPr="009A4FD1" w:rsidRDefault="00117128" w:rsidP="006E1D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6E1D3A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.7. Описание источников информации для расчета показателей (индикаторов):</w:t>
            </w:r>
          </w:p>
          <w:p w:rsidR="006E1D3A" w:rsidRPr="009A4FD1" w:rsidRDefault="006E1D3A" w:rsidP="006E1D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</w:t>
            </w:r>
            <w:r w:rsidR="006D55E9" w:rsidRPr="0017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</w:t>
            </w: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субъектов малого и среднего предпринимательства в рамках обязательств перед администрацией города согласно соглашений (договоров).___________________________</w:t>
            </w:r>
          </w:p>
          <w:p w:rsidR="006E1D3A" w:rsidRPr="009A4FD1" w:rsidRDefault="006E1D3A" w:rsidP="006E1D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060C65" w:rsidRPr="009A4FD1" w:rsidRDefault="00060C65" w:rsidP="00AF70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00B" w:rsidRPr="009A4FD1" w:rsidRDefault="00117128" w:rsidP="00AF70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FD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AF700B" w:rsidRPr="009A4FD1">
        <w:rPr>
          <w:rFonts w:ascii="Times New Roman" w:eastAsia="Times New Roman" w:hAnsi="Times New Roman"/>
          <w:sz w:val="24"/>
          <w:szCs w:val="24"/>
          <w:lang w:eastAsia="ru-RU"/>
        </w:rPr>
        <w:t>. Иные сведения, которые, по мнению регулирующего органа,</w:t>
      </w:r>
    </w:p>
    <w:p w:rsidR="00AF700B" w:rsidRPr="009A4FD1" w:rsidRDefault="00AF700B" w:rsidP="00AF70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FD1">
        <w:rPr>
          <w:rFonts w:ascii="Times New Roman" w:eastAsia="Times New Roman" w:hAnsi="Times New Roman"/>
          <w:sz w:val="24"/>
          <w:szCs w:val="24"/>
          <w:lang w:eastAsia="ru-RU"/>
        </w:rPr>
        <w:t>позволяют оценить обоснованность предлагаемого регулирования</w:t>
      </w:r>
    </w:p>
    <w:p w:rsidR="00AF700B" w:rsidRPr="009A4FD1" w:rsidRDefault="00AF700B" w:rsidP="00AF70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AF700B" w:rsidRPr="009A4FD1" w:rsidTr="006B465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AF700B" w:rsidRPr="009A4FD1" w:rsidRDefault="00117128" w:rsidP="00AF70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AF700B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 Иные необходимые, по мнению разработчика, сведения:</w:t>
            </w:r>
          </w:p>
          <w:p w:rsidR="00AF700B" w:rsidRPr="009A4FD1" w:rsidRDefault="00222685" w:rsidP="009F7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  <w:r w:rsidRPr="009A4FD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отсутствуют</w:t>
            </w:r>
            <w:r w:rsidR="00AF700B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</w:t>
            </w:r>
            <w:r w:rsidR="00696985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</w:p>
        </w:tc>
      </w:tr>
      <w:tr w:rsidR="00AF700B" w:rsidRPr="009A4FD1" w:rsidTr="006B465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AF700B" w:rsidRPr="009A4FD1" w:rsidRDefault="00117128" w:rsidP="00AF70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AF700B"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 Источники данных:</w:t>
            </w:r>
          </w:p>
          <w:p w:rsidR="00AF700B" w:rsidRPr="009A4FD1" w:rsidRDefault="00222685" w:rsidP="009F7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 w:rsidRPr="009A4FD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отсутствуют</w:t>
            </w:r>
            <w:r w:rsidR="00AF700B" w:rsidRPr="009A4FD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_____________________________________________</w:t>
            </w:r>
            <w:r w:rsidR="00696985" w:rsidRPr="009A4FD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</w:t>
            </w:r>
          </w:p>
        </w:tc>
      </w:tr>
    </w:tbl>
    <w:p w:rsidR="00AF700B" w:rsidRPr="009A4FD1" w:rsidRDefault="00AF700B" w:rsidP="00AF70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00B" w:rsidRPr="009A4FD1" w:rsidRDefault="001C2A95" w:rsidP="00AF70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24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F3241" w:rsidRPr="003F324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D763F7" w:rsidRPr="003F324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F3241" w:rsidRPr="003F3241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D763F7" w:rsidRPr="003F3241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A65604" w:rsidRPr="003F3241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AF700B" w:rsidRPr="009A4FD1" w:rsidRDefault="00AF700B" w:rsidP="00AF70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AF700B" w:rsidRPr="009A4FD1" w:rsidRDefault="00AA4C02" w:rsidP="00AF70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A4FD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Руководитель </w:t>
      </w:r>
      <w:r w:rsidR="00AF700B" w:rsidRPr="009A4FD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регулирующего органа</w:t>
      </w:r>
      <w:r w:rsidRPr="009A4FD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</w:t>
      </w:r>
      <w:r w:rsidR="00222685" w:rsidRPr="009A4FD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_                                           </w:t>
      </w:r>
      <w:r w:rsidR="00441BD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Ю.С.Химичук</w:t>
      </w:r>
    </w:p>
    <w:p w:rsidR="00AF700B" w:rsidRPr="009A4FD1" w:rsidRDefault="00AF700B" w:rsidP="00AF70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u w:val="single"/>
          <w:lang w:eastAsia="ru-RU"/>
        </w:rPr>
      </w:pPr>
      <w:r w:rsidRPr="009A4FD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       </w:t>
      </w:r>
      <w:r w:rsidR="00222685" w:rsidRPr="009A4FD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</w:t>
      </w:r>
      <w:r w:rsidR="00AA4C02" w:rsidRPr="009A4FD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</w:t>
      </w:r>
      <w:r w:rsidR="00222685" w:rsidRPr="009A4FD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9A4FD1">
        <w:rPr>
          <w:rFonts w:ascii="Times New Roman" w:eastAsia="Times New Roman" w:hAnsi="Times New Roman"/>
          <w:sz w:val="16"/>
          <w:szCs w:val="16"/>
          <w:u w:val="single"/>
          <w:lang w:eastAsia="ru-RU"/>
        </w:rPr>
        <w:t xml:space="preserve">подпись   </w:t>
      </w:r>
      <w:r w:rsidR="00222685" w:rsidRPr="009A4FD1">
        <w:rPr>
          <w:rFonts w:ascii="Times New Roman" w:eastAsia="Times New Roman" w:hAnsi="Times New Roman"/>
          <w:sz w:val="16"/>
          <w:szCs w:val="16"/>
          <w:u w:val="single"/>
          <w:lang w:eastAsia="ru-RU"/>
        </w:rPr>
        <w:t xml:space="preserve">                                        </w:t>
      </w:r>
      <w:r w:rsidR="00AA4C02" w:rsidRPr="009A4FD1">
        <w:rPr>
          <w:rFonts w:ascii="Times New Roman" w:eastAsia="Times New Roman" w:hAnsi="Times New Roman"/>
          <w:sz w:val="16"/>
          <w:szCs w:val="16"/>
          <w:u w:val="single"/>
          <w:lang w:eastAsia="ru-RU"/>
        </w:rPr>
        <w:t xml:space="preserve">                       </w:t>
      </w:r>
      <w:r w:rsidRPr="009A4FD1">
        <w:rPr>
          <w:rFonts w:ascii="Times New Roman" w:eastAsia="Times New Roman" w:hAnsi="Times New Roman"/>
          <w:sz w:val="16"/>
          <w:szCs w:val="16"/>
          <w:u w:val="single"/>
          <w:lang w:eastAsia="ru-RU"/>
        </w:rPr>
        <w:t>инициалы, фамилия</w:t>
      </w:r>
    </w:p>
    <w:p w:rsidR="00AF700B" w:rsidRPr="009A4FD1" w:rsidRDefault="00AF700B" w:rsidP="00AF70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A4FD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--------------------------------</w:t>
      </w:r>
    </w:p>
    <w:p w:rsidR="00E2383A" w:rsidRPr="009A4FD1" w:rsidRDefault="00AF700B" w:rsidP="001171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bookmarkStart w:id="1" w:name="P853"/>
      <w:bookmarkEnd w:id="1"/>
      <w:r w:rsidRPr="009A4FD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&lt;1&gt; Указываются данные из </w:t>
      </w:r>
      <w:hyperlink w:anchor="P721" w:history="1">
        <w:r w:rsidRPr="009A4FD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раздела 3</w:t>
        </w:r>
      </w:hyperlink>
      <w:r w:rsidRPr="009A4FD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сводного отчета</w:t>
      </w:r>
    </w:p>
    <w:p w:rsidR="00E2383A" w:rsidRPr="009A4FD1" w:rsidRDefault="00E2383A" w:rsidP="00F904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AF700B" w:rsidRPr="009A4FD1" w:rsidRDefault="00AF700B" w:rsidP="00A85E5F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AF700B" w:rsidRPr="009A4FD1" w:rsidRDefault="00AF700B" w:rsidP="00A85E5F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AF700B" w:rsidRPr="009A4FD1" w:rsidRDefault="00AF700B" w:rsidP="00A85E5F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AF700B" w:rsidRPr="009A4FD1" w:rsidRDefault="00AF700B" w:rsidP="00A85E5F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AF700B" w:rsidRPr="009A4FD1" w:rsidRDefault="00AF700B" w:rsidP="00A85E5F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AF700B" w:rsidRPr="007C3F35" w:rsidRDefault="00AF700B" w:rsidP="00A85E5F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F700B" w:rsidRPr="007C3F35" w:rsidSect="007A7685">
      <w:headerReference w:type="default" r:id="rId11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1CC" w:rsidRDefault="00CE31CC" w:rsidP="00C2256A">
      <w:pPr>
        <w:spacing w:after="0" w:line="240" w:lineRule="auto"/>
      </w:pPr>
      <w:r>
        <w:separator/>
      </w:r>
    </w:p>
  </w:endnote>
  <w:endnote w:type="continuationSeparator" w:id="0">
    <w:p w:rsidR="00CE31CC" w:rsidRDefault="00CE31CC" w:rsidP="00C22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1CC" w:rsidRDefault="00CE31CC" w:rsidP="00C2256A">
      <w:pPr>
        <w:spacing w:after="0" w:line="240" w:lineRule="auto"/>
      </w:pPr>
      <w:r>
        <w:separator/>
      </w:r>
    </w:p>
  </w:footnote>
  <w:footnote w:type="continuationSeparator" w:id="0">
    <w:p w:rsidR="00CE31CC" w:rsidRDefault="00CE31CC" w:rsidP="00C22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2191368"/>
      <w:docPartObj>
        <w:docPartGallery w:val="Page Numbers (Top of Page)"/>
        <w:docPartUnique/>
      </w:docPartObj>
    </w:sdtPr>
    <w:sdtEndPr/>
    <w:sdtContent>
      <w:p w:rsidR="00F904E6" w:rsidRDefault="00F904E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CBF">
          <w:rPr>
            <w:noProof/>
          </w:rPr>
          <w:t>7</w:t>
        </w:r>
        <w:r>
          <w:fldChar w:fldCharType="end"/>
        </w:r>
      </w:p>
    </w:sdtContent>
  </w:sdt>
  <w:p w:rsidR="00F904E6" w:rsidRDefault="00F904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96333"/>
    <w:multiLevelType w:val="hybridMultilevel"/>
    <w:tmpl w:val="EF120F06"/>
    <w:lvl w:ilvl="0" w:tplc="FB86E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C2"/>
    <w:rsid w:val="00001066"/>
    <w:rsid w:val="000128E3"/>
    <w:rsid w:val="00012B25"/>
    <w:rsid w:val="0001599D"/>
    <w:rsid w:val="0002205C"/>
    <w:rsid w:val="00030B74"/>
    <w:rsid w:val="0003310E"/>
    <w:rsid w:val="00052410"/>
    <w:rsid w:val="000535D5"/>
    <w:rsid w:val="00060C65"/>
    <w:rsid w:val="00063E51"/>
    <w:rsid w:val="00073992"/>
    <w:rsid w:val="00076C87"/>
    <w:rsid w:val="000878A1"/>
    <w:rsid w:val="000922D9"/>
    <w:rsid w:val="000A1201"/>
    <w:rsid w:val="000A42D5"/>
    <w:rsid w:val="000B17AD"/>
    <w:rsid w:val="000C2C0D"/>
    <w:rsid w:val="000E6440"/>
    <w:rsid w:val="00117128"/>
    <w:rsid w:val="00134F7A"/>
    <w:rsid w:val="0014308E"/>
    <w:rsid w:val="001703C5"/>
    <w:rsid w:val="00174261"/>
    <w:rsid w:val="00174B4E"/>
    <w:rsid w:val="00197C60"/>
    <w:rsid w:val="001A2C66"/>
    <w:rsid w:val="001C2A95"/>
    <w:rsid w:val="001E27D6"/>
    <w:rsid w:val="001E425F"/>
    <w:rsid w:val="002057E0"/>
    <w:rsid w:val="00216F31"/>
    <w:rsid w:val="00222685"/>
    <w:rsid w:val="002229A7"/>
    <w:rsid w:val="002252B9"/>
    <w:rsid w:val="0028395D"/>
    <w:rsid w:val="002B0FE9"/>
    <w:rsid w:val="002B63B5"/>
    <w:rsid w:val="002B6C4A"/>
    <w:rsid w:val="002C3EC0"/>
    <w:rsid w:val="002C4CA8"/>
    <w:rsid w:val="002C51FF"/>
    <w:rsid w:val="002D4831"/>
    <w:rsid w:val="002D6A3A"/>
    <w:rsid w:val="002F0BB8"/>
    <w:rsid w:val="002F56DC"/>
    <w:rsid w:val="00305EE8"/>
    <w:rsid w:val="00310156"/>
    <w:rsid w:val="003326CA"/>
    <w:rsid w:val="003337C1"/>
    <w:rsid w:val="003372EA"/>
    <w:rsid w:val="00341A7A"/>
    <w:rsid w:val="00341C75"/>
    <w:rsid w:val="00343B58"/>
    <w:rsid w:val="00363653"/>
    <w:rsid w:val="0036794B"/>
    <w:rsid w:val="003804F4"/>
    <w:rsid w:val="00381D39"/>
    <w:rsid w:val="0038496D"/>
    <w:rsid w:val="00387885"/>
    <w:rsid w:val="00392673"/>
    <w:rsid w:val="0039689A"/>
    <w:rsid w:val="003F3241"/>
    <w:rsid w:val="00404CA3"/>
    <w:rsid w:val="004175CE"/>
    <w:rsid w:val="004348E0"/>
    <w:rsid w:val="00441BD6"/>
    <w:rsid w:val="00454F5C"/>
    <w:rsid w:val="00461AE8"/>
    <w:rsid w:val="004834AD"/>
    <w:rsid w:val="004A77A2"/>
    <w:rsid w:val="004B5709"/>
    <w:rsid w:val="004D1E74"/>
    <w:rsid w:val="004D56B9"/>
    <w:rsid w:val="004E5EDC"/>
    <w:rsid w:val="004E69A8"/>
    <w:rsid w:val="00500263"/>
    <w:rsid w:val="00522B98"/>
    <w:rsid w:val="00523EAE"/>
    <w:rsid w:val="00526C4B"/>
    <w:rsid w:val="00533E27"/>
    <w:rsid w:val="005369B5"/>
    <w:rsid w:val="00540CD3"/>
    <w:rsid w:val="00546F07"/>
    <w:rsid w:val="00564133"/>
    <w:rsid w:val="0057730B"/>
    <w:rsid w:val="00584256"/>
    <w:rsid w:val="005A1FF8"/>
    <w:rsid w:val="005A257A"/>
    <w:rsid w:val="005A5425"/>
    <w:rsid w:val="005E350E"/>
    <w:rsid w:val="005F674D"/>
    <w:rsid w:val="00602596"/>
    <w:rsid w:val="00637E4C"/>
    <w:rsid w:val="00644CBF"/>
    <w:rsid w:val="00652E72"/>
    <w:rsid w:val="006576CC"/>
    <w:rsid w:val="0069574D"/>
    <w:rsid w:val="00696985"/>
    <w:rsid w:val="006A4AA7"/>
    <w:rsid w:val="006A7A5B"/>
    <w:rsid w:val="006B4656"/>
    <w:rsid w:val="006D47D2"/>
    <w:rsid w:val="006D55E9"/>
    <w:rsid w:val="006E1D3A"/>
    <w:rsid w:val="00704277"/>
    <w:rsid w:val="007165C2"/>
    <w:rsid w:val="00727B32"/>
    <w:rsid w:val="0073671C"/>
    <w:rsid w:val="0074651C"/>
    <w:rsid w:val="00747E95"/>
    <w:rsid w:val="0075044C"/>
    <w:rsid w:val="00774563"/>
    <w:rsid w:val="00786765"/>
    <w:rsid w:val="0079119A"/>
    <w:rsid w:val="007A7685"/>
    <w:rsid w:val="007B6C84"/>
    <w:rsid w:val="007C3F35"/>
    <w:rsid w:val="007D192A"/>
    <w:rsid w:val="007D390F"/>
    <w:rsid w:val="007E3B94"/>
    <w:rsid w:val="007E596E"/>
    <w:rsid w:val="007F5F70"/>
    <w:rsid w:val="0080066F"/>
    <w:rsid w:val="0081012E"/>
    <w:rsid w:val="00811839"/>
    <w:rsid w:val="00811927"/>
    <w:rsid w:val="0081721A"/>
    <w:rsid w:val="00824BC0"/>
    <w:rsid w:val="008349ED"/>
    <w:rsid w:val="0084238F"/>
    <w:rsid w:val="0084568B"/>
    <w:rsid w:val="008551A8"/>
    <w:rsid w:val="00861319"/>
    <w:rsid w:val="00864E63"/>
    <w:rsid w:val="00871625"/>
    <w:rsid w:val="0089281C"/>
    <w:rsid w:val="008A66A8"/>
    <w:rsid w:val="008A75AB"/>
    <w:rsid w:val="008E4053"/>
    <w:rsid w:val="008E7052"/>
    <w:rsid w:val="008F35A8"/>
    <w:rsid w:val="008F5725"/>
    <w:rsid w:val="00905B71"/>
    <w:rsid w:val="009142C2"/>
    <w:rsid w:val="00915A17"/>
    <w:rsid w:val="0093409C"/>
    <w:rsid w:val="0094468E"/>
    <w:rsid w:val="009477E2"/>
    <w:rsid w:val="00950233"/>
    <w:rsid w:val="009516C3"/>
    <w:rsid w:val="00973240"/>
    <w:rsid w:val="00984243"/>
    <w:rsid w:val="00986B1F"/>
    <w:rsid w:val="009923B2"/>
    <w:rsid w:val="009A4FD1"/>
    <w:rsid w:val="009A6F84"/>
    <w:rsid w:val="009B6A23"/>
    <w:rsid w:val="009C35AE"/>
    <w:rsid w:val="009C40FE"/>
    <w:rsid w:val="009D2811"/>
    <w:rsid w:val="009E1FB6"/>
    <w:rsid w:val="009F5ADC"/>
    <w:rsid w:val="009F7F3E"/>
    <w:rsid w:val="00A03FC8"/>
    <w:rsid w:val="00A3641C"/>
    <w:rsid w:val="00A615B5"/>
    <w:rsid w:val="00A65604"/>
    <w:rsid w:val="00A80F26"/>
    <w:rsid w:val="00A814A9"/>
    <w:rsid w:val="00A85E5F"/>
    <w:rsid w:val="00A91307"/>
    <w:rsid w:val="00A9227A"/>
    <w:rsid w:val="00AA4C02"/>
    <w:rsid w:val="00AB1604"/>
    <w:rsid w:val="00AB52FC"/>
    <w:rsid w:val="00AB7EC0"/>
    <w:rsid w:val="00AD1ADA"/>
    <w:rsid w:val="00AE09C1"/>
    <w:rsid w:val="00AF700B"/>
    <w:rsid w:val="00B072E5"/>
    <w:rsid w:val="00B30885"/>
    <w:rsid w:val="00B443D1"/>
    <w:rsid w:val="00B46293"/>
    <w:rsid w:val="00B71EBC"/>
    <w:rsid w:val="00B7610B"/>
    <w:rsid w:val="00B77B16"/>
    <w:rsid w:val="00B77D57"/>
    <w:rsid w:val="00B90FA0"/>
    <w:rsid w:val="00B91E8C"/>
    <w:rsid w:val="00B96E2E"/>
    <w:rsid w:val="00BB2192"/>
    <w:rsid w:val="00BB67F1"/>
    <w:rsid w:val="00BE18A9"/>
    <w:rsid w:val="00BE774A"/>
    <w:rsid w:val="00C04C07"/>
    <w:rsid w:val="00C0534D"/>
    <w:rsid w:val="00C07D32"/>
    <w:rsid w:val="00C14685"/>
    <w:rsid w:val="00C222D4"/>
    <w:rsid w:val="00C2256A"/>
    <w:rsid w:val="00C23621"/>
    <w:rsid w:val="00C40E34"/>
    <w:rsid w:val="00C75D9C"/>
    <w:rsid w:val="00C86BA9"/>
    <w:rsid w:val="00C91606"/>
    <w:rsid w:val="00C9242B"/>
    <w:rsid w:val="00CA2DC2"/>
    <w:rsid w:val="00CB2F74"/>
    <w:rsid w:val="00CB7109"/>
    <w:rsid w:val="00CC5A5A"/>
    <w:rsid w:val="00CE31CC"/>
    <w:rsid w:val="00CF7C39"/>
    <w:rsid w:val="00D00480"/>
    <w:rsid w:val="00D014AD"/>
    <w:rsid w:val="00D15ECD"/>
    <w:rsid w:val="00D253F0"/>
    <w:rsid w:val="00D31BFD"/>
    <w:rsid w:val="00D424E3"/>
    <w:rsid w:val="00D643E9"/>
    <w:rsid w:val="00D65F1E"/>
    <w:rsid w:val="00D729A1"/>
    <w:rsid w:val="00D763F7"/>
    <w:rsid w:val="00D9093C"/>
    <w:rsid w:val="00D94AB8"/>
    <w:rsid w:val="00DD6F31"/>
    <w:rsid w:val="00DE09F3"/>
    <w:rsid w:val="00DF0606"/>
    <w:rsid w:val="00DF4C21"/>
    <w:rsid w:val="00E014F6"/>
    <w:rsid w:val="00E059EC"/>
    <w:rsid w:val="00E22F56"/>
    <w:rsid w:val="00E2383A"/>
    <w:rsid w:val="00E2410E"/>
    <w:rsid w:val="00E35945"/>
    <w:rsid w:val="00E43C69"/>
    <w:rsid w:val="00E43DB6"/>
    <w:rsid w:val="00E472D2"/>
    <w:rsid w:val="00E554ED"/>
    <w:rsid w:val="00E5635A"/>
    <w:rsid w:val="00E65B76"/>
    <w:rsid w:val="00E86681"/>
    <w:rsid w:val="00E967D5"/>
    <w:rsid w:val="00EB0D9F"/>
    <w:rsid w:val="00EB2CA4"/>
    <w:rsid w:val="00EC51A3"/>
    <w:rsid w:val="00ED3F24"/>
    <w:rsid w:val="00EE1347"/>
    <w:rsid w:val="00EE3364"/>
    <w:rsid w:val="00EF07C3"/>
    <w:rsid w:val="00EF4634"/>
    <w:rsid w:val="00EF4AAD"/>
    <w:rsid w:val="00F106E0"/>
    <w:rsid w:val="00F2023F"/>
    <w:rsid w:val="00F31DDE"/>
    <w:rsid w:val="00F4312C"/>
    <w:rsid w:val="00F47E48"/>
    <w:rsid w:val="00F52716"/>
    <w:rsid w:val="00F55506"/>
    <w:rsid w:val="00F56ED9"/>
    <w:rsid w:val="00F60B48"/>
    <w:rsid w:val="00F61D8C"/>
    <w:rsid w:val="00F637AB"/>
    <w:rsid w:val="00F66CF2"/>
    <w:rsid w:val="00F71A1F"/>
    <w:rsid w:val="00F86272"/>
    <w:rsid w:val="00F86E92"/>
    <w:rsid w:val="00F876C8"/>
    <w:rsid w:val="00F904E6"/>
    <w:rsid w:val="00FA6446"/>
    <w:rsid w:val="00FB4E9A"/>
    <w:rsid w:val="00FD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93CAF-4A72-4A14-85B1-E1C55E48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E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7C60"/>
    <w:rPr>
      <w:color w:val="0000FF"/>
      <w:u w:val="none"/>
    </w:rPr>
  </w:style>
  <w:style w:type="paragraph" w:customStyle="1" w:styleId="Title">
    <w:name w:val="Title!Название НПА"/>
    <w:basedOn w:val="a"/>
    <w:rsid w:val="00C2256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4">
    <w:name w:val="header"/>
    <w:basedOn w:val="a"/>
    <w:link w:val="a5"/>
    <w:uiPriority w:val="99"/>
    <w:unhideWhenUsed/>
    <w:rsid w:val="00C22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256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22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256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22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256A"/>
    <w:rPr>
      <w:rFonts w:ascii="Segoe UI" w:eastAsia="Calibr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B67F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B67F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B67F1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B67F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B67F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5A1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2B27C852A96A3C590D96FDDA4EF541FC42DB467705644C18DCFD4860C17CF4FB60F003BE2D9F532854B5oEfE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content\act\45004c75-5243-401b-8c73-766db0b42115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2B27C852A96A3C590D96FDDA4EF541FC42DB467705644C18DCFD4860C17CF4FB60F003BE2D9F532854B5oEf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C0179-FFB3-460F-B96D-F5E87D6FE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2439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Смашко Татьяна Ивановна</dc:creator>
  <cp:lastModifiedBy>Чуприна Аэлита Вячеславовна</cp:lastModifiedBy>
  <cp:revision>2</cp:revision>
  <cp:lastPrinted>2021-06-10T11:46:00Z</cp:lastPrinted>
  <dcterms:created xsi:type="dcterms:W3CDTF">2022-12-02T11:05:00Z</dcterms:created>
  <dcterms:modified xsi:type="dcterms:W3CDTF">2022-12-02T11:05:00Z</dcterms:modified>
</cp:coreProperties>
</file>