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0" w:rsidRDefault="00E822D0"/>
    <w:p w:rsidR="001F27B1" w:rsidRDefault="001F27B1"/>
    <w:p w:rsidR="001F27B1" w:rsidRDefault="001F27B1"/>
    <w:p w:rsidR="001F27B1" w:rsidRDefault="001F27B1"/>
    <w:p w:rsidR="001F27B1" w:rsidRDefault="001F27B1"/>
    <w:p w:rsidR="00A33A29" w:rsidRDefault="00A33A29"/>
    <w:p w:rsidR="00A33A29" w:rsidRDefault="00A33A29"/>
    <w:p w:rsidR="00A33A29" w:rsidRDefault="00A33A29"/>
    <w:tbl>
      <w:tblPr>
        <w:tblStyle w:val="a3"/>
        <w:tblpPr w:leftFromText="180" w:rightFromText="180" w:vertAnchor="text" w:horzAnchor="margin" w:tblpY="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</w:tblGrid>
      <w:tr w:rsidR="001F27B1" w:rsidTr="001F27B1">
        <w:trPr>
          <w:trHeight w:val="647"/>
        </w:trPr>
        <w:tc>
          <w:tcPr>
            <w:tcW w:w="4366" w:type="dxa"/>
          </w:tcPr>
          <w:p w:rsidR="001F27B1" w:rsidRPr="001F27B1" w:rsidRDefault="001F27B1" w:rsidP="002E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19.12.2018 №2746 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2019-2025 годы»</w:t>
            </w:r>
            <w:r w:rsidR="009E7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A5502">
              <w:rPr>
                <w:rFonts w:ascii="Times New Roman" w:hAnsi="Times New Roman" w:cs="Times New Roman"/>
                <w:sz w:val="24"/>
                <w:szCs w:val="24"/>
              </w:rPr>
              <w:t>(с изменениями)</w:t>
            </w:r>
          </w:p>
        </w:tc>
      </w:tr>
    </w:tbl>
    <w:p w:rsidR="001F27B1" w:rsidRDefault="001F27B1"/>
    <w:p w:rsidR="001F27B1" w:rsidRDefault="001F27B1"/>
    <w:p w:rsidR="001F27B1" w:rsidRDefault="001F27B1"/>
    <w:p w:rsidR="001F27B1" w:rsidRPr="001F27B1" w:rsidRDefault="001F27B1" w:rsidP="001F27B1"/>
    <w:p w:rsidR="001F27B1" w:rsidRPr="001F27B1" w:rsidRDefault="001F27B1" w:rsidP="001F27B1"/>
    <w:p w:rsidR="00E4318B" w:rsidRDefault="00E4318B" w:rsidP="001F27B1">
      <w:pPr>
        <w:tabs>
          <w:tab w:val="left" w:pos="1680"/>
        </w:tabs>
        <w:jc w:val="both"/>
      </w:pPr>
    </w:p>
    <w:p w:rsidR="005134E7" w:rsidRDefault="001F27B1" w:rsidP="00E4318B">
      <w:pPr>
        <w:tabs>
          <w:tab w:val="left" w:pos="1680"/>
        </w:tabs>
        <w:spacing w:after="0" w:line="240" w:lineRule="auto"/>
        <w:jc w:val="both"/>
      </w:pPr>
      <w:r>
        <w:t xml:space="preserve">       </w:t>
      </w:r>
      <w:r w:rsidR="00DF1D88">
        <w:t xml:space="preserve">           </w:t>
      </w:r>
    </w:p>
    <w:p w:rsidR="005134E7" w:rsidRDefault="005134E7" w:rsidP="00E4318B">
      <w:pPr>
        <w:tabs>
          <w:tab w:val="left" w:pos="1680"/>
        </w:tabs>
        <w:spacing w:after="0" w:line="240" w:lineRule="auto"/>
        <w:jc w:val="both"/>
      </w:pPr>
    </w:p>
    <w:p w:rsidR="001F27B1" w:rsidRDefault="005134E7" w:rsidP="00E4318B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proofErr w:type="gramStart"/>
      <w:r w:rsidR="001F27B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Ханты-Мансийского автономного округа – Югры от 22.03.2019 №85-п «О внесении изменений в постановление Правительства Ханты-Мансийского автономного округа </w:t>
      </w:r>
      <w:r w:rsidR="00E4318B">
        <w:rPr>
          <w:rFonts w:ascii="Times New Roman" w:hAnsi="Times New Roman" w:cs="Times New Roman"/>
          <w:sz w:val="24"/>
          <w:szCs w:val="24"/>
        </w:rPr>
        <w:t>–</w:t>
      </w:r>
      <w:r w:rsidR="001F27B1">
        <w:rPr>
          <w:rFonts w:ascii="Times New Roman" w:hAnsi="Times New Roman" w:cs="Times New Roman"/>
          <w:sz w:val="24"/>
          <w:szCs w:val="24"/>
        </w:rPr>
        <w:t xml:space="preserve"> Югры</w:t>
      </w:r>
      <w:r w:rsidR="00E4318B">
        <w:rPr>
          <w:rFonts w:ascii="Times New Roman" w:hAnsi="Times New Roman" w:cs="Times New Roman"/>
          <w:sz w:val="24"/>
          <w:szCs w:val="24"/>
        </w:rPr>
        <w:t xml:space="preserve"> от </w:t>
      </w:r>
      <w:r w:rsidR="00FA5502">
        <w:rPr>
          <w:rFonts w:ascii="Times New Roman" w:hAnsi="Times New Roman" w:cs="Times New Roman"/>
          <w:sz w:val="24"/>
          <w:szCs w:val="24"/>
        </w:rPr>
        <w:t xml:space="preserve">05.10.2018 </w:t>
      </w:r>
      <w:r w:rsidR="00E4318B">
        <w:rPr>
          <w:rFonts w:ascii="Times New Roman" w:hAnsi="Times New Roman" w:cs="Times New Roman"/>
          <w:sz w:val="24"/>
          <w:szCs w:val="24"/>
        </w:rPr>
        <w:t>№336-п «О государственной программе Ханты-Мансийского автономного округа – Югры «Развитие экономического потенциала», приказа Департамента экономического развития Ханты-Мансийского автономного округа – Югры от 27.03.2019 №62 «Об утверждении методических рекомендаций по реализации мероприятий муниципальных программ (подпрограмм) развитие малого и среднего</w:t>
      </w:r>
      <w:proofErr w:type="gramEnd"/>
      <w:r w:rsidR="00E4318B">
        <w:rPr>
          <w:rFonts w:ascii="Times New Roman" w:hAnsi="Times New Roman" w:cs="Times New Roman"/>
          <w:sz w:val="24"/>
          <w:szCs w:val="24"/>
        </w:rPr>
        <w:t xml:space="preserve"> предпринимательства, </w:t>
      </w:r>
      <w:proofErr w:type="spellStart"/>
      <w:r w:rsidR="00E4318B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="00E4318B">
        <w:rPr>
          <w:rFonts w:ascii="Times New Roman" w:hAnsi="Times New Roman" w:cs="Times New Roman"/>
          <w:sz w:val="24"/>
          <w:szCs w:val="24"/>
        </w:rPr>
        <w:t xml:space="preserve"> из средств бюджета Ханты-Мансийского автономного округа – Югры»:</w:t>
      </w:r>
    </w:p>
    <w:p w:rsidR="00E4318B" w:rsidRDefault="00E4318B" w:rsidP="00E4318B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DF1D88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города от 19.12.2018 №2746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2019-2025 годы»</w:t>
      </w:r>
      <w:r w:rsidR="002E068B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DF1D88">
        <w:rPr>
          <w:rFonts w:ascii="Times New Roman" w:hAnsi="Times New Roman" w:cs="Times New Roman"/>
          <w:sz w:val="24"/>
          <w:szCs w:val="24"/>
        </w:rPr>
        <w:t>:</w:t>
      </w:r>
    </w:p>
    <w:p w:rsidR="0085006E" w:rsidRDefault="00DF1D88" w:rsidP="00C51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006E">
        <w:rPr>
          <w:rFonts w:ascii="Times New Roman" w:hAnsi="Times New Roman" w:cs="Times New Roman"/>
          <w:sz w:val="24"/>
          <w:szCs w:val="24"/>
        </w:rPr>
        <w:t xml:space="preserve">1.1.Абзац 1 пункта 2.25 </w:t>
      </w:r>
      <w:r w:rsidR="00197A90">
        <w:rPr>
          <w:rFonts w:ascii="Times New Roman" w:hAnsi="Times New Roman" w:cs="Times New Roman"/>
          <w:sz w:val="24"/>
          <w:szCs w:val="24"/>
        </w:rPr>
        <w:t xml:space="preserve"> раздела 1 приложения 1 к программе </w:t>
      </w:r>
      <w:r w:rsidR="0085006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97A90">
        <w:rPr>
          <w:rFonts w:ascii="Times New Roman" w:hAnsi="Times New Roman" w:cs="Times New Roman"/>
          <w:sz w:val="24"/>
          <w:szCs w:val="24"/>
        </w:rPr>
        <w:t>пунктом 2.26 следующего содержания:</w:t>
      </w:r>
    </w:p>
    <w:p w:rsidR="00197A90" w:rsidRDefault="00197A90" w:rsidP="00C51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«2.26.Начинающие предприниматели – впервые зарегистрированные и действующие менее 1 года индивидуальные предприниматели и юридические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5578B" w:rsidRDefault="00133BBE" w:rsidP="00850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0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9AD">
        <w:rPr>
          <w:rFonts w:ascii="Times New Roman" w:hAnsi="Times New Roman" w:cs="Times New Roman"/>
          <w:sz w:val="24"/>
          <w:szCs w:val="24"/>
        </w:rPr>
        <w:t>Пункт</w:t>
      </w:r>
      <w:r w:rsidR="007A0224">
        <w:rPr>
          <w:rFonts w:ascii="Times New Roman" w:hAnsi="Times New Roman" w:cs="Times New Roman"/>
          <w:sz w:val="24"/>
          <w:szCs w:val="24"/>
        </w:rPr>
        <w:t>ы</w:t>
      </w:r>
      <w:r w:rsidR="00C519AD">
        <w:rPr>
          <w:rFonts w:ascii="Times New Roman" w:hAnsi="Times New Roman" w:cs="Times New Roman"/>
          <w:sz w:val="24"/>
          <w:szCs w:val="24"/>
        </w:rPr>
        <w:t xml:space="preserve"> 8</w:t>
      </w:r>
      <w:r w:rsidR="007A0224">
        <w:rPr>
          <w:rFonts w:ascii="Times New Roman" w:hAnsi="Times New Roman" w:cs="Times New Roman"/>
          <w:sz w:val="24"/>
          <w:szCs w:val="24"/>
        </w:rPr>
        <w:t>, 9, 10, 11</w:t>
      </w:r>
      <w:r w:rsidR="00C519AD">
        <w:rPr>
          <w:rFonts w:ascii="Times New Roman" w:hAnsi="Times New Roman" w:cs="Times New Roman"/>
          <w:sz w:val="24"/>
          <w:szCs w:val="24"/>
        </w:rPr>
        <w:t xml:space="preserve"> раздела 1 приложения 1 к программе изложить в новой редакции:</w:t>
      </w:r>
    </w:p>
    <w:p w:rsidR="00C519AD" w:rsidRDefault="00C519AD" w:rsidP="00C51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8.Реализация мероприятий «Создание условий для развития субъектов малого и среднего предпринимательства».</w:t>
      </w:r>
    </w:p>
    <w:p w:rsidR="00C519AD" w:rsidRPr="00C519AD" w:rsidRDefault="00C519AD" w:rsidP="00C519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9AD">
        <w:rPr>
          <w:rFonts w:ascii="Times New Roman" w:hAnsi="Times New Roman" w:cs="Times New Roman"/>
          <w:sz w:val="24"/>
          <w:szCs w:val="24"/>
        </w:rPr>
        <w:t>8.1.</w:t>
      </w:r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 мониторинга деятельности Субъектов.</w:t>
      </w:r>
      <w:r w:rsidRPr="00C5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519AD" w:rsidRDefault="00C519AD" w:rsidP="00C51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Мониторинг деятельности Субъектов проводится в целях:</w:t>
      </w:r>
    </w:p>
    <w:p w:rsidR="00C519AD" w:rsidRDefault="00C519AD" w:rsidP="00C51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обобщения данных о деятельности Субъектов, определения приоритетных направлений развития предпринимательской деятельности и достижения социального и экономического эффекта;</w:t>
      </w:r>
    </w:p>
    <w:p w:rsidR="00C519AD" w:rsidRDefault="00C519AD" w:rsidP="00C51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сбора данных для наполнения </w:t>
      </w:r>
      <w:proofErr w:type="spellStart"/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геомаркетинговой</w:t>
      </w:r>
      <w:proofErr w:type="spellEnd"/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информационно-аналитической системы (далее – Бизнес-навигатор МСП).</w:t>
      </w:r>
    </w:p>
    <w:p w:rsidR="00C519AD" w:rsidRPr="00C519AD" w:rsidRDefault="00C519AD" w:rsidP="00C51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мероприятия по организации мониторинга деятельности Субъектов осуществляется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519AD" w:rsidRDefault="00C519AD" w:rsidP="00C51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Результаты Мониторинга деятельности Субъектов, проведенного в целях обобщения данных о деятельности Субъектов </w:t>
      </w:r>
      <w:r w:rsidR="008500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округа город Мегион</w:t>
      </w:r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определения приоритетных направлений развития предпринимательской деятельности и достижения социального и экономического эффекта в течение 10 рабочих дней (со дня их получения) публикуют на официальном сайте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администрации города Мегиона в сети «Интернет»</w:t>
      </w:r>
      <w:r w:rsidRPr="00C519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направляют в Департамент экономического развития автономного округа.</w:t>
      </w:r>
      <w:proofErr w:type="gramEnd"/>
    </w:p>
    <w:p w:rsid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Содержание, структура и формат данных для наполнения Бизнес-навигатора должны соответствовать требованиям, установленным в Методических рекомендациях по вопросам оказания информационной и маркетинговой поддержки, утвержденных протоколом Совета директоров Акционерного общества «Федеральная корпорация по развитию малого и среднего предпринимательства» (далее – Корпорация МСП) от 23 декабря 2016 года № 24 и размещенных на официальном сайте Корпорации МСП (</w:t>
      </w:r>
      <w:hyperlink r:id="rId9" w:history="1">
        <w:r w:rsidRPr="00542127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https://corpmsp.ru/</w:t>
        </w:r>
      </w:hyperlink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</w:t>
      </w:r>
      <w:proofErr w:type="gramEnd"/>
    </w:p>
    <w:p w:rsid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8.2.</w:t>
      </w: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 мероприятий по информационно-консультационной поддержке, популяризации и пропаганде предпринимательской деятельности.</w:t>
      </w:r>
    </w:p>
    <w:p w:rsid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реализуются в соответствии с требованиями Федерального закона   «О контрактной системе в сфере закупок товаров, работ, услуг для обеспечения государственных и муниципальных нужд» путем: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</w:t>
      </w:r>
      <w:r w:rsidR="008500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муниципальных </w:t>
      </w:r>
      <w:proofErr w:type="spellStart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выставочно</w:t>
      </w:r>
      <w:proofErr w:type="spellEnd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ярмарочных мероприятий и организацию участия Субъектов в межмуниципальных, региональных и межрегиональных </w:t>
      </w:r>
      <w:proofErr w:type="spellStart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выставочно</w:t>
      </w:r>
      <w:proofErr w:type="spellEnd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ярмарочных мероприятиях;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</w:t>
      </w:r>
      <w:r w:rsidR="008500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мероприятий, направленных на популяризацию и создание положительного мнения о предпринимательской деятельности, повышение информированности граждан и Субъектов о возможностях для развития бизнеса и о существующих мерах и программах поддержки;  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изготовлени</w:t>
      </w:r>
      <w:r w:rsidR="008500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(приобретения</w:t>
      </w: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материальных запасов, способствующих повышению информированности граждан и Субъектов о возможностях для развития бизнеса и о существующих мерах и программах поддержки.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организации мероприятий, не допускаются расходы </w:t>
      </w:r>
      <w:proofErr w:type="gramStart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27">
        <w:rPr>
          <w:rFonts w:ascii="Times New Roman" w:hAnsi="Times New Roman" w:cs="Times New Roman"/>
          <w:sz w:val="24"/>
          <w:szCs w:val="24"/>
        </w:rPr>
        <w:t xml:space="preserve">официальные приемы, в том числе на организацию завтрака, обеда, ужина, мероприятия в форме </w:t>
      </w:r>
      <w:proofErr w:type="gramStart"/>
      <w:r w:rsidRPr="00542127">
        <w:rPr>
          <w:rFonts w:ascii="Times New Roman" w:hAnsi="Times New Roman" w:cs="Times New Roman"/>
          <w:sz w:val="24"/>
          <w:szCs w:val="24"/>
        </w:rPr>
        <w:t>фуршет-приема</w:t>
      </w:r>
      <w:proofErr w:type="gramEnd"/>
      <w:r w:rsidRPr="00542127">
        <w:rPr>
          <w:rFonts w:ascii="Times New Roman" w:hAnsi="Times New Roman" w:cs="Times New Roman"/>
          <w:sz w:val="24"/>
          <w:szCs w:val="24"/>
        </w:rPr>
        <w:t>, иного аналогичного мероприятия;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27">
        <w:rPr>
          <w:rFonts w:ascii="Times New Roman" w:hAnsi="Times New Roman" w:cs="Times New Roman"/>
          <w:sz w:val="24"/>
          <w:szCs w:val="24"/>
        </w:rPr>
        <w:t>буфетное обслуживание, в том числе на кофе-паузу (кофе-брейк) и сервисное обслуживание буфетной продукции;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27">
        <w:rPr>
          <w:rFonts w:ascii="Times New Roman" w:hAnsi="Times New Roman" w:cs="Times New Roman"/>
          <w:sz w:val="24"/>
          <w:szCs w:val="24"/>
        </w:rPr>
        <w:t>предоставление ден</w:t>
      </w:r>
      <w:r w:rsidR="0085006E">
        <w:rPr>
          <w:rFonts w:ascii="Times New Roman" w:hAnsi="Times New Roman" w:cs="Times New Roman"/>
          <w:sz w:val="24"/>
          <w:szCs w:val="24"/>
        </w:rPr>
        <w:t>ежных премий (призов) Субъектам.</w:t>
      </w:r>
    </w:p>
    <w:p w:rsidR="00542127" w:rsidRP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Финансовая поддержка Субъектов на создание </w:t>
      </w:r>
      <w:proofErr w:type="spellStart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коворкинг</w:t>
      </w:r>
      <w:proofErr w:type="spellEnd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-центров в виде возмещения части затрат на оборудование рабочих мест для Субъектов и помещений для проведения совещаний (конференций).</w:t>
      </w:r>
    </w:p>
    <w:p w:rsidR="00542127" w:rsidRP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Возмещению подлежат фактически произведенные и документально подтвержденные затраты Субъекта на приобретение:</w:t>
      </w:r>
    </w:p>
    <w:p w:rsidR="00542127" w:rsidRP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компьютерного оборудования;</w:t>
      </w:r>
    </w:p>
    <w:p w:rsidR="00542127" w:rsidRP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лицензионных программных продуктов;</w:t>
      </w:r>
    </w:p>
    <w:p w:rsidR="00542127" w:rsidRP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оргтехники;</w:t>
      </w:r>
    </w:p>
    <w:p w:rsidR="00542127" w:rsidRDefault="00542127" w:rsidP="005421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офисной мебели.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Коворкинг</w:t>
      </w:r>
      <w:proofErr w:type="spellEnd"/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-центр должен соответствовать следующим требованиям: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площадь помещения должна составлять не менее 80 кв. м.</w:t>
      </w:r>
    </w:p>
    <w:p w:rsidR="00542127" w:rsidRP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помещения должны быть оборудованы средствами пожаротушения</w:t>
      </w:r>
      <w:r w:rsidR="00197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(огнетушители, установки автоматического или полуавтоматического пожаротушения)</w:t>
      </w: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системой </w:t>
      </w:r>
      <w:r w:rsidR="00197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вентиляции и (или) </w:t>
      </w: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кондиционирования воздуха</w:t>
      </w:r>
      <w:r w:rsidR="00197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доступными местами общественного пользования, в том числе туалетами.</w:t>
      </w:r>
    </w:p>
    <w:p w:rsidR="00542127" w:rsidRDefault="00542127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рабочие места для Субъектов должны б</w:t>
      </w:r>
      <w:r w:rsidR="00197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ыть оборудованы офисной мебелью, компьютерной техникой с доступом к высококачественному интернету.</w:t>
      </w:r>
    </w:p>
    <w:p w:rsidR="004D21CA" w:rsidRPr="00A95361" w:rsidRDefault="007A0224" w:rsidP="00542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D2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</w:t>
      </w:r>
      <w:r w:rsid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Реализация мероприятия </w:t>
      </w:r>
      <w:r w:rsidR="00A95361"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«Финансовая поддержка субъектов малого и среднего предпринимательства, осуществляющих социально значимые виды деятельности в муниципальных образованиях и деятельность в социальной сфере».</w:t>
      </w:r>
    </w:p>
    <w:p w:rsidR="00A95361" w:rsidRPr="00A95361" w:rsidRDefault="00A95361" w:rsidP="00A9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Финансовая поддержка </w:t>
      </w:r>
      <w:proofErr w:type="gramStart"/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Субъектам, осуществляющим социально значимые виды деятельности предоставляется</w:t>
      </w:r>
      <w:proofErr w:type="gramEnd"/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</w:t>
      </w:r>
      <w:r w:rsidR="00D72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утвержденным пунктом 7 раздела 1 настоящего Порядка (по ОКВЭД) </w:t>
      </w:r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перечнем социально значимых видов деятельности Субъектов</w:t>
      </w:r>
      <w:r w:rsidR="00B05E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95361" w:rsidRPr="00A95361" w:rsidRDefault="00A95361" w:rsidP="00A9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Финансовая поддержка Субъектам, осуществляющим деятельность в социальной сфере предоставляется в соответствии с условиями, утвержденными в статье 5.1 </w:t>
      </w:r>
      <w:r w:rsidR="00B05E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Закона автономного округа от 29.12.2007 года №</w:t>
      </w:r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213-оз «О развитии малого и среднего предпринимательства </w:t>
      </w:r>
      <w:proofErr w:type="gramStart"/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Ханты-Мансийском</w:t>
      </w:r>
      <w:proofErr w:type="gramEnd"/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автономном округе – Югре».</w:t>
      </w:r>
    </w:p>
    <w:p w:rsidR="00D727CC" w:rsidRDefault="00D727CC" w:rsidP="00A9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Принимаются к возмещению затраты Субъектов, произведенные  не ранее 12 (двенадцати) месяцев, предшествующих дате принятия заявления.</w:t>
      </w:r>
    </w:p>
    <w:p w:rsidR="00A95361" w:rsidRDefault="00A95361" w:rsidP="00A9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Мероприятие включает в себя следующие направления:</w:t>
      </w:r>
    </w:p>
    <w:p w:rsidR="00A95361" w:rsidRDefault="00A95361" w:rsidP="00A9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9.1.</w:t>
      </w:r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</w:t>
      </w:r>
      <w:r w:rsidR="00D72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едерации от 24 июля 2007 года №</w:t>
      </w:r>
      <w:r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</w:p>
    <w:p w:rsidR="00A95361" w:rsidRDefault="00A95361" w:rsidP="00A9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A95361" w:rsidRDefault="0045451B" w:rsidP="00A953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9.2.</w:t>
      </w:r>
      <w:r w:rsidR="00A95361" w:rsidRPr="00A953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Возмещение части затрат по предоставленным консалтинговым услугам.</w:t>
      </w:r>
    </w:p>
    <w:p w:rsidR="0045451B" w:rsidRPr="0045451B" w:rsidRDefault="0045451B" w:rsidP="0045451B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5451B">
        <w:rPr>
          <w:rFonts w:ascii="Times New Roman" w:eastAsia="Calibri" w:hAnsi="Times New Roman" w:cs="Times New Roman"/>
          <w:snapToGrid w:val="0"/>
          <w:sz w:val="24"/>
          <w:szCs w:val="24"/>
        </w:rPr>
        <w:t>Возмещению подлежат фактически произведенные и документально подтвержденные затраты Субъект</w:t>
      </w:r>
      <w:r w:rsidR="00D727CC">
        <w:rPr>
          <w:rFonts w:ascii="Times New Roman" w:eastAsia="Calibri" w:hAnsi="Times New Roman" w:cs="Times New Roman"/>
          <w:snapToGrid w:val="0"/>
          <w:sz w:val="24"/>
          <w:szCs w:val="24"/>
        </w:rPr>
        <w:t>ов</w:t>
      </w:r>
      <w:r w:rsidRPr="0045451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D727CC">
        <w:rPr>
          <w:rFonts w:ascii="Times New Roman" w:eastAsia="Calibri" w:hAnsi="Times New Roman" w:cs="Times New Roman"/>
          <w:snapToGrid w:val="0"/>
          <w:sz w:val="24"/>
          <w:szCs w:val="24"/>
        </w:rPr>
        <w:t>по предоставленным консалтинговым услугам по договорам, заключенным на оказание услуг</w:t>
      </w:r>
      <w:r w:rsidRPr="0045451B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45451B" w:rsidRPr="0045451B" w:rsidRDefault="0045451B" w:rsidP="0045451B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5451B">
        <w:rPr>
          <w:rFonts w:ascii="Times New Roman" w:eastAsia="Calibri" w:hAnsi="Times New Roman" w:cs="Times New Roman"/>
          <w:snapToGrid w:val="0"/>
          <w:sz w:val="24"/>
          <w:szCs w:val="24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45451B" w:rsidRPr="0045451B" w:rsidRDefault="0045451B" w:rsidP="0045451B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5451B">
        <w:rPr>
          <w:rFonts w:ascii="Times New Roman" w:eastAsia="Calibri" w:hAnsi="Times New Roman" w:cs="Times New Roman"/>
          <w:snapToGrid w:val="0"/>
          <w:sz w:val="24"/>
          <w:szCs w:val="24"/>
        </w:rPr>
        <w:t>по подготовке пакетов учредительных документов при создании новых организаций;</w:t>
      </w:r>
    </w:p>
    <w:p w:rsidR="0045451B" w:rsidRDefault="0045451B" w:rsidP="0045451B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5451B">
        <w:rPr>
          <w:rFonts w:ascii="Times New Roman" w:eastAsia="Calibri" w:hAnsi="Times New Roman" w:cs="Times New Roman"/>
          <w:snapToGrid w:val="0"/>
          <w:sz w:val="24"/>
          <w:szCs w:val="24"/>
        </w:rPr>
        <w:t>по оказанию помощи в ведении бизнеса.</w:t>
      </w:r>
    </w:p>
    <w:p w:rsidR="002D1F18" w:rsidRPr="002D1F18" w:rsidRDefault="0045451B" w:rsidP="002D1F1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9.3.</w:t>
      </w:r>
      <w:r w:rsidR="002D1F18"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2D1F18" w:rsidRPr="002D1F18" w:rsidRDefault="002D1F18" w:rsidP="002D1F18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Возмещению подлежат фактически произведенные и документально подтвержденные затраты Субъектов </w:t>
      </w:r>
      <w:proofErr w:type="gramStart"/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2D1F18" w:rsidRPr="002D1F18" w:rsidRDefault="002D1F18" w:rsidP="002D1F18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регистрацию декларации о соответствии;</w:t>
      </w:r>
    </w:p>
    <w:p w:rsidR="002D1F18" w:rsidRPr="002D1F18" w:rsidRDefault="002D1F18" w:rsidP="002D1F18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проведение анализа документов;</w:t>
      </w:r>
    </w:p>
    <w:p w:rsidR="002D1F18" w:rsidRPr="002D1F18" w:rsidRDefault="002D1F18" w:rsidP="002D1F18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исследование качества и безопасности продукции;</w:t>
      </w:r>
    </w:p>
    <w:p w:rsidR="002D1F18" w:rsidRPr="002D1F18" w:rsidRDefault="002D1F18" w:rsidP="002D1F18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проведение работ по подтверждению соответствия продукции;</w:t>
      </w:r>
    </w:p>
    <w:p w:rsidR="002D1F18" w:rsidRPr="002D1F18" w:rsidRDefault="002D1F18" w:rsidP="002D1F18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проведение работ по испытаниям продукции;</w:t>
      </w:r>
    </w:p>
    <w:p w:rsidR="002D1F18" w:rsidRPr="002D1F18" w:rsidRDefault="002D1F18" w:rsidP="002D1F18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оформление и переоформление сертификатов и деклараций о соответствии, </w:t>
      </w:r>
      <w:proofErr w:type="gramStart"/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санитарно-эпидемиологической</w:t>
      </w:r>
      <w:proofErr w:type="gramEnd"/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экспертиз.</w:t>
      </w:r>
    </w:p>
    <w:p w:rsidR="002D1F18" w:rsidRDefault="002D1F18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Возмещение части затрат по обязательной и добровольной сертификации (декларированию) продукции (в том числе продовольственного сырья) Субъектам, включенным Фондом «Центр 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Субъекта). 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10" w:history="1">
        <w:r w:rsidRPr="002D1F18">
          <w:rPr>
            <w:rFonts w:ascii="Times New Roman" w:eastAsia="Calibri" w:hAnsi="Times New Roman" w:cs="Times New Roman"/>
            <w:snapToGrid w:val="0"/>
            <w:sz w:val="24"/>
            <w:szCs w:val="24"/>
            <w:u w:val="single"/>
          </w:rPr>
          <w:t>http://www.export-ugra.ru/</w:t>
        </w:r>
      </w:hyperlink>
      <w:r w:rsidRPr="002D1F18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.</w:t>
      </w: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2D1F18" w:rsidRPr="002D1F18" w:rsidRDefault="002D1F18" w:rsidP="002D1F1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9.4.</w:t>
      </w: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Возмещение части затрат, связанных со специальной оценкой условий труда.</w:t>
      </w:r>
    </w:p>
    <w:p w:rsidR="002D1F18" w:rsidRDefault="002D1F18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D1F18">
        <w:rPr>
          <w:rFonts w:ascii="Times New Roman" w:eastAsia="Calibri" w:hAnsi="Times New Roman" w:cs="Times New Roman"/>
          <w:snapToGrid w:val="0"/>
          <w:sz w:val="24"/>
          <w:szCs w:val="24"/>
        </w:rPr>
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труда.</w:t>
      </w:r>
    </w:p>
    <w:p w:rsidR="002D1F18" w:rsidRDefault="002D1F18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9.5.</w:t>
      </w:r>
      <w:r w:rsidR="004F2B45" w:rsidRPr="004F2B45">
        <w:rPr>
          <w:rFonts w:ascii="Times New Roman" w:eastAsia="Calibri" w:hAnsi="Times New Roman" w:cs="Times New Roman"/>
          <w:snapToGrid w:val="0"/>
          <w:sz w:val="24"/>
          <w:szCs w:val="24"/>
        </w:rPr>
        <w:t>Возмещение части затрат на приобретение оборудования (основных средств) и лицензионных программных продуктов</w:t>
      </w:r>
      <w:r w:rsidR="004F2B45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4F2B45" w:rsidRDefault="004F2B45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Возмещение части затрат Субъектам осуществляется </w:t>
      </w:r>
      <w:proofErr w:type="gram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4F2B45" w:rsidRDefault="00301D6E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9.5.1.</w:t>
      </w:r>
      <w:r w:rsidR="004F2B4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Приобретение оборудования, относящегося к основным средствам (далее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 веденного в действие Приказом </w:t>
      </w:r>
      <w:r w:rsidR="001D0BF8">
        <w:rPr>
          <w:rFonts w:ascii="Times New Roman" w:eastAsia="Calibri" w:hAnsi="Times New Roman" w:cs="Times New Roman"/>
          <w:snapToGrid w:val="0"/>
          <w:sz w:val="24"/>
          <w:szCs w:val="24"/>
        </w:rPr>
        <w:t>Федерального агентства по техническому регулированию и метрологии от</w:t>
      </w:r>
      <w:proofErr w:type="gramEnd"/>
      <w:r w:rsidR="001D0B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12.12.2014 №2018-ст.</w:t>
      </w:r>
    </w:p>
    <w:p w:rsidR="001D0BF8" w:rsidRDefault="001D0BF8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Возмещению не подлежат затраты Субъектов: </w:t>
      </w:r>
    </w:p>
    <w:p w:rsidR="001D0BF8" w:rsidRDefault="001D0BF8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1D0BF8" w:rsidRDefault="001D0BF8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на доставку и монтаж оборудования.</w:t>
      </w:r>
    </w:p>
    <w:p w:rsidR="00301D6E" w:rsidRDefault="00301D6E" w:rsidP="002D1F1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9.5.2.Приобретение лицензионных программных продуктов,</w:t>
      </w:r>
      <w:r w:rsidR="0041050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содержащихся в группировке 730 «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Программное обеспечение и базы данных» ОКОФ, при обязательном предъявлении  копии лицензии.</w:t>
      </w:r>
    </w:p>
    <w:p w:rsidR="00301D6E" w:rsidRDefault="00301D6E" w:rsidP="00301D6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9.6.</w:t>
      </w:r>
      <w:r w:rsidRPr="00301D6E">
        <w:rPr>
          <w:rFonts w:ascii="Times New Roman" w:eastAsia="Calibri" w:hAnsi="Times New Roman" w:cs="Times New Roman"/>
          <w:snapToGrid w:val="0"/>
          <w:sz w:val="24"/>
          <w:szCs w:val="24"/>
        </w:rPr>
        <w:t>Возмещение части затрат, связанных с прохождением курсов повышения квалификации.</w:t>
      </w:r>
      <w:r w:rsidRPr="00C9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301D6E" w:rsidRPr="00301D6E" w:rsidRDefault="00301D6E" w:rsidP="00301D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дипломы, сертификаты).</w:t>
      </w:r>
    </w:p>
    <w:p w:rsidR="00EA31D3" w:rsidRDefault="00EA31D3" w:rsidP="00EA31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9.7.Возмещение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</w:t>
      </w:r>
    </w:p>
    <w:p w:rsidR="00EA31D3" w:rsidRPr="00EA31D3" w:rsidRDefault="00EA31D3" w:rsidP="00EA31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Объектами товаропроводящей сети по реализации ремесленных товаров являются:</w:t>
      </w:r>
    </w:p>
    <w:p w:rsidR="00EA31D3" w:rsidRPr="00EA31D3" w:rsidRDefault="00EA31D3" w:rsidP="00EA31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EA31D3" w:rsidRPr="00EA31D3" w:rsidRDefault="00EA31D3" w:rsidP="00EA31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магазины – мастерские по производству и сбыту продукции и изделий народных художественных промыслов и ремесел;</w:t>
      </w:r>
    </w:p>
    <w:p w:rsidR="00EA31D3" w:rsidRPr="00EA31D3" w:rsidRDefault="00EA31D3" w:rsidP="00EA31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киоски, торговые павильоны, лотки, палатки.</w:t>
      </w:r>
    </w:p>
    <w:p w:rsidR="00EA31D3" w:rsidRPr="00EA31D3" w:rsidRDefault="00EA31D3" w:rsidP="00EA31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Возмещению подлежат фактически произведенные и документально подтвержденные затраты Субъектов, осуществляющих ремесленную деятельность и деятельность в сфере народных художественных промыслов на приобретение: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объектов товаропроводящей сети;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технологического оборудования, используемого при производстве продукции и изделий народных художественных промыслов и ремесел; 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16.2. Производство изделий из дерева, пробки, соломки и материалов для плетения;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23.7. Резка, обработка и отделка камня;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25.5. Ковка, прессование, штамповка и профилирование; изготовление изделий методом порошковой металлургии;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32.99.8. Производство изделий народных художественных промыслов;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90.03. Деятельность в области художественного творчества.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единицу.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</w:t>
      </w:r>
      <w:r w:rsidR="004105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оссийской Федерации от 15.04.2009 №</w:t>
      </w: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274.</w:t>
      </w:r>
    </w:p>
    <w:p w:rsidR="00EA31D3" w:rsidRPr="00EA31D3" w:rsidRDefault="00EA31D3" w:rsidP="00EA31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Перечень видов ремесленной деятельности в сфере малого и среднего предпринимательства </w:t>
      </w:r>
      <w:proofErr w:type="gramStart"/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Ханты-Мансийском</w:t>
      </w:r>
      <w:proofErr w:type="gramEnd"/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автономном округе – Югре, групп и видов изделий,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EA31D3" w:rsidRDefault="00EA31D3" w:rsidP="00EA31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9.8.Возмещение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EB2C78" w:rsidRDefault="00EB2C78" w:rsidP="00EB2C78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B2C78">
        <w:rPr>
          <w:rFonts w:ascii="Times New Roman" w:eastAsia="Calibri" w:hAnsi="Times New Roman" w:cs="Times New Roman"/>
          <w:snapToGrid w:val="0"/>
          <w:sz w:val="24"/>
          <w:szCs w:val="24"/>
        </w:rPr>
        <w:t>Возмещению подлежат фактически произведенные и документально подтвержденные затраты Субъектов на приобретение</w:t>
      </w:r>
      <w:r w:rsidRPr="00EB2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C78">
        <w:rPr>
          <w:rFonts w:ascii="Times New Roman" w:eastAsia="Calibri" w:hAnsi="Times New Roman" w:cs="Times New Roman"/>
          <w:snapToGrid w:val="0"/>
          <w:sz w:val="24"/>
          <w:szCs w:val="24"/>
        </w:rPr>
        <w:t>необходимых для производства продукции и изделий народных художественных промыслов и ремесел:</w:t>
      </w:r>
    </w:p>
    <w:p w:rsidR="00EB2C78" w:rsidRPr="00EB2C78" w:rsidRDefault="00EB2C78" w:rsidP="00EB2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сырья </w:t>
      </w:r>
      <w:r w:rsidRPr="00EB2C78">
        <w:rPr>
          <w:rFonts w:ascii="Times New Roman" w:hAnsi="Times New Roman" w:cs="Times New Roman"/>
          <w:sz w:val="24"/>
          <w:szCs w:val="24"/>
        </w:rPr>
        <w:t>(</w:t>
      </w: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металлы (черные, цветные) и их сплавы; камни (натуральные, искусственные); пластические массы; дерево; папье-маше; рог, кость и их сочетания; керамику и стекло; кожу, ткани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прочее сырье</w:t>
      </w: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  <w:proofErr w:type="gramEnd"/>
    </w:p>
    <w:p w:rsidR="00EB2C78" w:rsidRPr="00EB2C78" w:rsidRDefault="00EB2C78" w:rsidP="00EB2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расходных материалов (лаки; нитки; гвозди; перчатки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прочие расходные материалы</w:t>
      </w: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EB2C78" w:rsidRDefault="00EB2C78" w:rsidP="00EB2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инструментов (кисти; иглы; дрели; ножовки, стамески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прочие инструменты</w:t>
      </w: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EB2C78" w:rsidRPr="00EB2C78" w:rsidRDefault="00EB2C78" w:rsidP="00EB2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Ремесленная деятельность и деятельность в сфере народных художественных промыслов, определяется аналогично условиям, установленным в пункте 9.7 настоящего Порядка.</w:t>
      </w:r>
    </w:p>
    <w:p w:rsidR="00EB2C78" w:rsidRPr="00EB2C78" w:rsidRDefault="00EB2C78" w:rsidP="00EB2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</w:t>
      </w:r>
      <w:r w:rsidR="004105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ации от 15.04.2009 №</w:t>
      </w: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274. </w:t>
      </w:r>
    </w:p>
    <w:p w:rsidR="00EB2C78" w:rsidRDefault="00EB2C78" w:rsidP="00EB2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Перечень видов ремесленной деятельности в сфере малого и среднего предпринимательства </w:t>
      </w:r>
      <w:proofErr w:type="gramStart"/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Ханты-Мансийском</w:t>
      </w:r>
      <w:proofErr w:type="gramEnd"/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автономном округе – Югре, групп и видов изделий, в соответствии с которым осуществляется отнесение изделий к изделиям </w:t>
      </w: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ремесленной деятельности, утверждается приказом Департамента экономического развития автономного округа.</w:t>
      </w:r>
    </w:p>
    <w:p w:rsidR="00EB2C78" w:rsidRPr="00EB2C78" w:rsidRDefault="00EB2C78" w:rsidP="00EB2C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9.9.</w:t>
      </w: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EB2C78" w:rsidRPr="00EB2C78" w:rsidRDefault="00EB2C78" w:rsidP="00EB2C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Финансовая поддержка предоставляется Субъектам, осуществляющим основную деятельность:</w:t>
      </w:r>
    </w:p>
    <w:p w:rsidR="00EB2C78" w:rsidRPr="00EB2C78" w:rsidRDefault="00EB2C78" w:rsidP="00EB2C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78">
        <w:rPr>
          <w:rFonts w:ascii="Times New Roman" w:hAnsi="Times New Roman" w:cs="Times New Roman"/>
          <w:sz w:val="24"/>
          <w:szCs w:val="24"/>
        </w:rPr>
        <w:t xml:space="preserve">по дневному уходу за детьми дошкольного возраста (детские ясли, сады), в том числе дневному уходу за детьми с отклонениями в развитии, </w:t>
      </w:r>
      <w:proofErr w:type="gramStart"/>
      <w:r w:rsidRPr="00EB2C78">
        <w:rPr>
          <w:rFonts w:ascii="Times New Roman" w:hAnsi="Times New Roman" w:cs="Times New Roman"/>
          <w:sz w:val="24"/>
          <w:szCs w:val="24"/>
        </w:rPr>
        <w:t>определяемую</w:t>
      </w:r>
      <w:proofErr w:type="gramEnd"/>
      <w:r w:rsidRPr="00EB2C78">
        <w:rPr>
          <w:rFonts w:ascii="Times New Roman" w:hAnsi="Times New Roman" w:cs="Times New Roman"/>
          <w:sz w:val="24"/>
          <w:szCs w:val="24"/>
        </w:rPr>
        <w:t xml:space="preserve">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</w:t>
      </w:r>
    </w:p>
    <w:p w:rsidR="00EB2C78" w:rsidRDefault="00EB2C78" w:rsidP="00E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78">
        <w:rPr>
          <w:rFonts w:ascii="Times New Roman" w:hAnsi="Times New Roman" w:cs="Times New Roman"/>
          <w:sz w:val="24"/>
          <w:szCs w:val="24"/>
        </w:rPr>
        <w:t xml:space="preserve">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</w:t>
      </w:r>
      <w:proofErr w:type="gramStart"/>
      <w:r w:rsidRPr="00EB2C78">
        <w:rPr>
          <w:rFonts w:ascii="Times New Roman" w:hAnsi="Times New Roman" w:cs="Times New Roman"/>
          <w:sz w:val="24"/>
          <w:szCs w:val="24"/>
        </w:rPr>
        <w:t>определяемую</w:t>
      </w:r>
      <w:proofErr w:type="gramEnd"/>
      <w:r w:rsidRPr="00EB2C78">
        <w:rPr>
          <w:rFonts w:ascii="Times New Roman" w:hAnsi="Times New Roman" w:cs="Times New Roman"/>
          <w:sz w:val="24"/>
          <w:szCs w:val="24"/>
        </w:rPr>
        <w:t xml:space="preserve"> в соответствии с кодом 85.11 «Образование дошкольное» ОКВЭД.</w:t>
      </w:r>
    </w:p>
    <w:p w:rsidR="00EB2C78" w:rsidRPr="00EB2C78" w:rsidRDefault="00EB2C78" w:rsidP="00EB2C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Возмещению подлежат затраты Субъектов </w:t>
      </w:r>
      <w:proofErr w:type="gramStart"/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EB2C78" w:rsidRPr="00EB2C78" w:rsidRDefault="00EB2C78" w:rsidP="00EB2C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аренды (субаренды)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</w:p>
    <w:p w:rsidR="00EB2C78" w:rsidRPr="00EB2C78" w:rsidRDefault="00EB2C78" w:rsidP="00EB2C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ремонт (реконструкцию) помещения, для осуществления Субъектом деятельности;</w:t>
      </w:r>
    </w:p>
    <w:p w:rsidR="00EB2C78" w:rsidRPr="00EB2C78" w:rsidRDefault="00EB2C78" w:rsidP="00EB2C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  <w:proofErr w:type="gramEnd"/>
    </w:p>
    <w:p w:rsidR="00EB2C78" w:rsidRDefault="00EB2C78" w:rsidP="00EB2C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2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Помещения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необходимым для организации работы дошкольных образовательных центров.</w:t>
      </w:r>
    </w:p>
    <w:p w:rsidR="007A0224" w:rsidRPr="007A0224" w:rsidRDefault="007A0224" w:rsidP="007A0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9.10.</w:t>
      </w: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мероприятию «Возмещение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обследований».</w:t>
      </w:r>
    </w:p>
    <w:p w:rsidR="007A0224" w:rsidRPr="007A0224" w:rsidRDefault="007A0224" w:rsidP="007A0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Возмещению подлежат затраты Субъектов </w:t>
      </w:r>
      <w:proofErr w:type="gramStart"/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7A0224" w:rsidRPr="007A0224" w:rsidRDefault="007A0224" w:rsidP="007A0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реализацию программ по энергосбережению, мероприятия по которым реализуются по </w:t>
      </w:r>
      <w:proofErr w:type="spellStart"/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энергосервисным</w:t>
      </w:r>
      <w:proofErr w:type="spellEnd"/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договорам, заключенным в соответствии с требованиями Ф</w:t>
      </w:r>
      <w:r w:rsidR="004105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едерального закона от 23.11.2009 №</w:t>
      </w: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7A0224" w:rsidRPr="007A0224" w:rsidRDefault="007A0224" w:rsidP="007A0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 проведение энергетических обследований зданий (помещений), в том числе арендованных;</w:t>
      </w:r>
    </w:p>
    <w:p w:rsidR="007A0224" w:rsidRDefault="007A0224" w:rsidP="007A0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7A0224" w:rsidRDefault="007A0224" w:rsidP="007A0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10.Реализация мероприятия </w:t>
      </w:r>
      <w:r w:rsidRPr="007A0224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Pr="007A0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начинающих предпринимателей</w:t>
      </w:r>
      <w:r w:rsidRPr="007A02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».   </w:t>
      </w:r>
    </w:p>
    <w:p w:rsidR="007A0224" w:rsidRPr="007A0224" w:rsidRDefault="007A0224" w:rsidP="007A022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Финансовая поддержка предоставляется начинающим предпринимателям, осуществляющим социально-значимые виды деятельности в </w:t>
      </w:r>
      <w:r w:rsidR="005B17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утвержденным пунктом 7 раздела 1 настоящего Порядка (по ОКВЭД) перечнем </w:t>
      </w:r>
      <w:r w:rsidR="005B17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социально-значимых видов деятельности Субъектов,</w:t>
      </w: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в виде возмещения части затрат, связанных с началом предпринимательской деятельности:</w:t>
      </w:r>
    </w:p>
    <w:p w:rsidR="007A0224" w:rsidRP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расходы по государственной регистрации юридического лица и индивидуального предпринимателя;</w:t>
      </w:r>
    </w:p>
    <w:p w:rsidR="007A0224" w:rsidRP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Федерации»);</w:t>
      </w:r>
    </w:p>
    <w:p w:rsidR="007A0224" w:rsidRP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</w:t>
      </w:r>
      <w:r w:rsidR="005B174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224" w:rsidRP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приобретение основных средств (оборудование, оргтехника, мебель)</w:t>
      </w:r>
      <w:r w:rsidR="005B17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осуществления деятельности</w:t>
      </w: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224" w:rsidRP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приобретение инвентаря (производственного назначения);</w:t>
      </w:r>
    </w:p>
    <w:p w:rsidR="007A0224" w:rsidRP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расходы на рекламу;</w:t>
      </w:r>
    </w:p>
    <w:p w:rsidR="007A0224" w:rsidRP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выплаты по передаче прав на франшизу (паушальный взнос);</w:t>
      </w:r>
    </w:p>
    <w:p w:rsidR="007A0224" w:rsidRP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/>
          <w:sz w:val="24"/>
          <w:szCs w:val="24"/>
          <w:lang w:eastAsia="ru-RU"/>
        </w:rPr>
        <w:t>ремонтные работы нежилых помещений, выполняемые при подготовке помещений к эксплуатации.</w:t>
      </w:r>
    </w:p>
    <w:p w:rsidR="007A0224" w:rsidRDefault="007A0224" w:rsidP="007A022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02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Коммунальные услуги, учитываемые в составе расходов, связанных с арендной (субарендой) нежилых помещений возмещению не подлежат.</w:t>
      </w:r>
    </w:p>
    <w:p w:rsidR="00E06D56" w:rsidRPr="00E06D56" w:rsidRDefault="00E06D56" w:rsidP="00E06D56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</w:t>
      </w:r>
      <w:r w:rsidRPr="00E06D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мероприятию «Развитие инновационного и молодежного предпринимательства».</w:t>
      </w:r>
    </w:p>
    <w:p w:rsidR="00E06D56" w:rsidRDefault="00E06D56" w:rsidP="00E06D56">
      <w:pPr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6D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Мероприятие включает в себя следующие направления:</w:t>
      </w:r>
    </w:p>
    <w:p w:rsidR="00E06D56" w:rsidRDefault="00E06D56" w:rsidP="00E06D5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6D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11.1.</w:t>
      </w:r>
      <w:r w:rsidRPr="00E06D5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субсидии на финансовое обеспечение затрат, связанных с созданием и (или) обеспечением деятельности центров молодежного инновационного творчества</w:t>
      </w:r>
      <w:r w:rsidRPr="00E06D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ЦМИТ). </w:t>
      </w:r>
    </w:p>
    <w:p w:rsidR="00E06D56" w:rsidRDefault="00E06D56" w:rsidP="00E06D56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06D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Предоставление субсидий на финансовое обеспечение затрат, связанных с созданием и (или) обеспечением деятельности ЦМИТ осуществляется на условиях долевого финансирования целевых расходов по приобретению вы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сокотехнологичного оборудования, соответствующего критериям, утвержденным Приказом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 от 01.11.2012 №1618 «Об утверждении критериев отнесения товаров, работ, услуг к инновационной продукции и (или) высокотехнологичной продукции по отраслям, относящимся к установленной сфере Министерства промышленности и торговли Российской Федерации».</w:t>
      </w:r>
      <w:proofErr w:type="gramEnd"/>
    </w:p>
    <w:p w:rsidR="00E06D56" w:rsidRPr="00E06D56" w:rsidRDefault="00E06D56" w:rsidP="00E06D56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6D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Субсидии в целях финансового обеспечения затрат, связанных с созданием и (или) обеспечением деятельности ЦМИТ предоставляются Субъекту по результатам конкурсного отбора, </w:t>
      </w:r>
      <w:r w:rsidR="005B17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оцениваемого комиссией по предоставлению субсидии, утвержденной администрацией города</w:t>
      </w:r>
      <w:r w:rsidRPr="00E06D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(далее – конкурсный отбор Субъектов).</w:t>
      </w:r>
    </w:p>
    <w:p w:rsidR="00E06D56" w:rsidRDefault="00E06D56" w:rsidP="00E06D56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6D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Обязательными условиями конкурсного отбора Субъектов являются:</w:t>
      </w:r>
    </w:p>
    <w:p w:rsidR="0069008B" w:rsidRDefault="00B05E9A" w:rsidP="0069008B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69008B" w:rsidRPr="006900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gramEnd"/>
      <w:r w:rsidR="0069008B" w:rsidRPr="006900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аличие у Субъекта проекта создания и (или) обеспечения деятельности ЦМИТ, включающего в себя следующие разделы:</w:t>
      </w:r>
    </w:p>
    <w:p w:rsidR="0069008B" w:rsidRDefault="00840D6C" w:rsidP="0069008B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концепцию создания и (или) развития ЦМИТ</w:t>
      </w:r>
      <w:r w:rsidR="005B17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подпунктом д) пункта 11.1 настоящего Порядка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оценку потенциального спроса на услуги ЦМИТ (количество потенциальных клиентов);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организационный план;</w:t>
      </w:r>
    </w:p>
    <w:p w:rsidR="00840D6C" w:rsidRPr="00840D6C" w:rsidRDefault="005B174A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планировку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помещений в ЦМИТ;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оборудования</w:t>
      </w:r>
      <w:r w:rsidR="005B17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необходимого</w:t>
      </w: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функционирования ЦМИТ;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финансовый план проекта создания и (или) </w:t>
      </w:r>
      <w:r w:rsidR="005B17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развития</w:t>
      </w: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ЦМИТ;</w:t>
      </w:r>
    </w:p>
    <w:p w:rsidR="00840D6C" w:rsidRDefault="005B174A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поэтапный план реализации проекта создания и (или) развития ЦМИТ</w:t>
      </w:r>
      <w:r w:rsidR="001563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840D6C" w:rsidRPr="00840D6C" w:rsidRDefault="00B05E9A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gramEnd"/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аличие сметы расходования средств субсидии регионального и муниципального бюджетов на финансирование ЦМИТ;</w:t>
      </w:r>
    </w:p>
    <w:p w:rsidR="00840D6C" w:rsidRDefault="00B05E9A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gramEnd"/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аличие информации о планируемых результатах деятельности ЦМИТ в соответствии с приложением </w:t>
      </w:r>
      <w:r w:rsid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 к настоящему Порядку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840D6C" w:rsidRPr="00840D6C" w:rsidRDefault="00B05E9A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gramEnd"/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аличие документов, подтверждающих фактически произведенные расходы в целях создания и (или) </w:t>
      </w:r>
      <w:r w:rsid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развития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ЦМИТ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840D6C" w:rsidRPr="00840D6C" w:rsidRDefault="00B05E9A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концепции создания (развития</w:t>
      </w:r>
      <w:r w:rsidR="001563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ЦМИТ или 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учредительных 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документах </w:t>
      </w:r>
      <w:r w:rsid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должно </w:t>
      </w:r>
      <w:r w:rsidR="00840D6C"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быть отражено, что задачами ЦМИТ являются: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самозанятости</w:t>
      </w:r>
      <w:proofErr w:type="spellEnd"/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молодежи;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 конференций, семинаров, рабочих встреч;</w:t>
      </w:r>
    </w:p>
    <w:p w:rsidR="00840D6C" w:rsidRP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формирование базы данных пользователей ЦМИТ;</w:t>
      </w:r>
    </w:p>
    <w:p w:rsidR="00840D6C" w:rsidRDefault="00840D6C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0D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46295C" w:rsidRPr="0046295C" w:rsidRDefault="00B05E9A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46295C"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="0046295C"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оответствие ЦМИТ следующим требованиям:</w:t>
      </w:r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ориентирован</w:t>
      </w:r>
      <w:proofErr w:type="gramEnd"/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  <w:proofErr w:type="gramEnd"/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загрузка оборудования ЦМИТ для детей и молодежи должна составлять не менее 60% от общего времени работы оборудования; </w:t>
      </w:r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соответствовать санитарно-техническим требованиям размещения и использования в помещении ЦМИТ, а так же требованиям безопасности для использования детьми;</w:t>
      </w:r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наличие в штате не менее 2 (двух) специалистов, имеющих  документальное подтверждение навыков владения оборудованием ЦМИТ</w:t>
      </w:r>
      <w:r w:rsidR="001563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(сертификаты, дипломы, свидетельства и прочие документы)</w:t>
      </w: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 </w:t>
      </w:r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соответствие помещений ЦМИТ федеральным и региональным 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наличие в штате не менее 1 (одного) специалиста </w:t>
      </w:r>
      <w:r w:rsidR="002A0A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педагогическим образованием и опытом работы с детьми (документально </w:t>
      </w:r>
      <w:proofErr w:type="gramStart"/>
      <w:r w:rsidR="002A0A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подтвержденных</w:t>
      </w:r>
      <w:proofErr w:type="gramEnd"/>
      <w:r w:rsidR="002A0A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выпиской из трудовой книжки и дипломом об образовании)</w:t>
      </w: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46295C" w:rsidRPr="0046295C" w:rsidRDefault="0046295C" w:rsidP="0046295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2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наличие доступа в помещениях ЦМИТ к информационно-телекоммуникационной сети Интернет.</w:t>
      </w:r>
    </w:p>
    <w:p w:rsidR="0046295C" w:rsidRPr="00840D6C" w:rsidRDefault="00DF390F" w:rsidP="00840D6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11.2.Возмещение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 (далее - возмещение затрат инновационным компаниям).</w:t>
      </w:r>
    </w:p>
    <w:p w:rsidR="00DF390F" w:rsidRPr="00DF390F" w:rsidRDefault="00DF390F" w:rsidP="00DF390F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 на возмещение затрат имеют следующие инновационные компании:</w:t>
      </w:r>
    </w:p>
    <w:p w:rsidR="00D004F0" w:rsidRPr="00D004F0" w:rsidRDefault="00D004F0" w:rsidP="00D004F0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004F0">
        <w:rPr>
          <w:rFonts w:ascii="Times New Roman" w:eastAsia="Calibri" w:hAnsi="Times New Roman" w:cs="Times New Roman"/>
          <w:sz w:val="24"/>
          <w:szCs w:val="24"/>
        </w:rPr>
        <w:t>имеющие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проект;</w:t>
      </w:r>
    </w:p>
    <w:p w:rsidR="00D004F0" w:rsidRPr="00D004F0" w:rsidRDefault="00D004F0" w:rsidP="00D004F0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D004F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зарегистрированные и состоящие на налоговом учете в городском округе город Мегион, деятельность которых заключается в практическом применении (внедрении) результатов интеллектуальной деятельности на территории </w:t>
      </w:r>
      <w:r w:rsidR="00B05E9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городского округа город Мегион </w:t>
      </w:r>
      <w:r w:rsidRPr="00D004F0">
        <w:rPr>
          <w:rFonts w:ascii="Times New Roman" w:eastAsia="Calibri" w:hAnsi="Times New Roman" w:cs="Times New Roman"/>
          <w:snapToGrid w:val="0"/>
          <w:sz w:val="24"/>
          <w:szCs w:val="24"/>
        </w:rPr>
        <w:t>более 1 года на дату подачи документов на возмещение затрат;</w:t>
      </w:r>
      <w:proofErr w:type="gramEnd"/>
    </w:p>
    <w:p w:rsidR="00D004F0" w:rsidRPr="00D004F0" w:rsidRDefault="00D004F0" w:rsidP="00D004F0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004F0">
        <w:rPr>
          <w:rFonts w:ascii="Times New Roman" w:eastAsia="Calibri" w:hAnsi="Times New Roman" w:cs="Times New Roman"/>
          <w:snapToGrid w:val="0"/>
          <w:sz w:val="24"/>
          <w:szCs w:val="24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</w:t>
      </w:r>
    </w:p>
    <w:p w:rsidR="00D004F0" w:rsidRDefault="00D004F0" w:rsidP="00D004F0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4F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Возмещению подлежат </w:t>
      </w:r>
      <w:r w:rsidRPr="00D004F0">
        <w:rPr>
          <w:rFonts w:ascii="Times New Roman" w:eastAsia="Calibri" w:hAnsi="Times New Roman" w:cs="Times New Roman"/>
          <w:sz w:val="24"/>
          <w:szCs w:val="24"/>
        </w:rPr>
        <w:t xml:space="preserve">фактически произведенные и документально подтвержденные </w:t>
      </w:r>
      <w:r w:rsidRPr="00D004F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затраты инновационных компаний, произведенные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в течени</w:t>
      </w:r>
      <w:r w:rsidR="00B05E9A">
        <w:rPr>
          <w:rFonts w:ascii="Times New Roman" w:eastAsia="Calibri" w:hAnsi="Times New Roman" w:cs="Times New Roman"/>
          <w:snapToGrid w:val="0"/>
          <w:sz w:val="24"/>
          <w:szCs w:val="24"/>
        </w:rPr>
        <w:t>е</w:t>
      </w:r>
      <w:r w:rsidRPr="00D004F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12 (двенадцати) месяцев, предшествующих дате принятия заявления в размере </w:t>
      </w:r>
      <w:proofErr w:type="gramStart"/>
      <w:r w:rsidRPr="00D004F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004F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на территории </w:t>
      </w:r>
      <w:r w:rsidR="002A0A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округа город Мегион</w:t>
      </w:r>
      <w:r w:rsidR="009E7E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содержащихся в группировках ОКОФ (320 «Информационное, компьютерное и телеком</w:t>
      </w:r>
      <w:r w:rsidR="00B05E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муникационное оборудование; 330 «</w:t>
      </w:r>
      <w:r w:rsidR="009E7E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Прочие машины и оборудование, включая хозяйственный инвентарь, и другие объекты»);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на территории </w:t>
      </w:r>
      <w:r w:rsidR="009E7E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округа город Мегион</w:t>
      </w: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на территории</w:t>
      </w:r>
      <w:r w:rsidR="009E7E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 город Мегион</w:t>
      </w: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аренду помещений, используемых для практического применения (внедрения) инновационной компанией результатов интеллектуальной деятельности на территории </w:t>
      </w:r>
      <w:r w:rsidR="009E7E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округа город Мегион</w:t>
      </w: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на территории </w:t>
      </w:r>
      <w:r w:rsidR="009E7E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округа город Мегион</w:t>
      </w: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11.3.</w:t>
      </w: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 мероприятий, направленных на вовлечение молодежи в предпринимательскую деятельность.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Муниципальные образования автономного округа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осуществляют: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организацию мероприятий, направленных на вовлечение молодежи в предпринимательскую деятельность; 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изготовление (приобретение) материальных запасов продукции, способствующей вовлечению молодежи в предпринимательскую деятельность.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организации мероприятий, не допускаются расходы </w:t>
      </w:r>
      <w:proofErr w:type="gramStart"/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официальные приемы, в том числе: организацию завтрака, обеда, ужина, мероприятия в форме </w:t>
      </w:r>
      <w:proofErr w:type="gramStart"/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фуршет-приема</w:t>
      </w:r>
      <w:proofErr w:type="gramEnd"/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иного аналогичного мероприятия;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буфетное обслуживание, в том числе на кофе-паузу (кофе-брейк) и сервисное обслуживание буфетной продукции;</w:t>
      </w:r>
    </w:p>
    <w:p w:rsidR="00D004F0" w:rsidRP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предоставление денежных пре</w:t>
      </w:r>
      <w:r w:rsidR="00E25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мий (призов)</w:t>
      </w:r>
      <w:proofErr w:type="gramStart"/>
      <w:r w:rsidR="00E25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bookmarkEnd w:id="0"/>
      <w:r w:rsidR="00E25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proofErr w:type="gramEnd"/>
    </w:p>
    <w:p w:rsidR="00D004F0" w:rsidRDefault="00D004F0" w:rsidP="00D004F0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1.2.</w:t>
      </w:r>
      <w:r w:rsidR="00E660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Абзац 4 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ункт 2.6. раздела 2 приложения 1 к Программе дополнить </w:t>
      </w:r>
      <w:r w:rsidR="00B05E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подпунктами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E66052" w:rsidRPr="00B05E9A" w:rsidRDefault="00D004F0" w:rsidP="00B05E9A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B05E9A">
        <w:rPr>
          <w:rFonts w:ascii="Times New Roman" w:eastAsia="Calibri" w:hAnsi="Times New Roman" w:cs="Times New Roman"/>
          <w:snapToGrid w:val="0"/>
          <w:sz w:val="24"/>
          <w:szCs w:val="24"/>
        </w:rPr>
        <w:t>2.6.1.</w:t>
      </w:r>
      <w:r w:rsidR="00E66052">
        <w:rPr>
          <w:rFonts w:ascii="Times New Roman" w:eastAsia="Calibri" w:hAnsi="Times New Roman" w:cs="Times New Roman"/>
          <w:snapToGrid w:val="0"/>
          <w:sz w:val="24"/>
          <w:szCs w:val="24"/>
        </w:rPr>
        <w:t>Соглашение (договор) с Субъектом о предоставлении финансовой поддержки в виде возмещения части затрат по приобретению оборудования должно содержать:</w:t>
      </w:r>
    </w:p>
    <w:p w:rsidR="00E66052" w:rsidRDefault="00E66052" w:rsidP="00E66052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наименование и стоимость оборудования;</w:t>
      </w:r>
    </w:p>
    <w:p w:rsidR="00E66052" w:rsidRDefault="00E66052" w:rsidP="00E66052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обязательство Субъекта об использовании по целевому назначению приобретенного оборудования, не продавать, не передавать в аренду или в пользование другим лицам в течение 2-х лет </w:t>
      </w:r>
      <w:proofErr w:type="gram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субсидии.</w:t>
      </w:r>
    </w:p>
    <w:p w:rsidR="00E66052" w:rsidRPr="00EA31D3" w:rsidRDefault="00B05E9A" w:rsidP="00E66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2.6.2.</w:t>
      </w:r>
      <w:r w:rsidR="00E66052"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Субъект, в отношении которого муниципальным образованием принято решение о возмещении части затрат на приобретение объектов товаропроводящей сети, письменно обязуется:</w:t>
      </w:r>
    </w:p>
    <w:p w:rsidR="00E66052" w:rsidRPr="00EA31D3" w:rsidRDefault="00E66052" w:rsidP="00E66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использовать, по целевому назначению объекты (за которые будут возмещены затраты), не продавать, не передавать в аренду или в пользование другим лицам в течение 2 лет с даты получения субсидии;</w:t>
      </w:r>
    </w:p>
    <w:p w:rsidR="00E66052" w:rsidRPr="00EA31D3" w:rsidRDefault="00E66052" w:rsidP="00E66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создать в течение шести месяцев </w:t>
      </w:r>
      <w:proofErr w:type="gramStart"/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даты получения</w:t>
      </w:r>
      <w:proofErr w:type="gramEnd"/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субсидии не менее 2 новых рабочих мест и сохранять их в течение 2 лет. </w:t>
      </w:r>
    </w:p>
    <w:p w:rsidR="00E66052" w:rsidRPr="00EA31D3" w:rsidRDefault="00E66052" w:rsidP="00E66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Субъект, в отношении которого муниципальным образованием принято решение о возмещении части затрат на приобретение технологического или торгового оборудования, письменно обязуется использовать, по целевому назначению оборудование (за которое ему будут возмещены затраты), не продавать, не передавать в аренду или в пользование другим лицам в течение 2 лет с даты получения субсидии.</w:t>
      </w:r>
    </w:p>
    <w:p w:rsidR="00E66052" w:rsidRPr="00EA31D3" w:rsidRDefault="00E66052" w:rsidP="00E66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Обязательства Субъектов муниципальным образованием автономного округа включаются в текст договоров (соглашений) о предоставлении субсидии.</w:t>
      </w:r>
    </w:p>
    <w:p w:rsidR="00E66052" w:rsidRPr="00EA31D3" w:rsidRDefault="00E66052" w:rsidP="00E66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Субъект по истечении 6 месяцев, 1 года и 2 лет со дня получения субсидии предоставляет в муниципальное образование отчет об исполнении принятых обязательств.</w:t>
      </w:r>
    </w:p>
    <w:p w:rsidR="00E66052" w:rsidRDefault="00E66052" w:rsidP="00E66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отчета утверждается в договоре о предоставлении субсидии.</w:t>
      </w:r>
    </w:p>
    <w:p w:rsidR="00B05E9A" w:rsidRDefault="00B05E9A" w:rsidP="00B05E9A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2.6.3.Соглашение (договор) с Субъектами о предоставлении финансовой поддержки в виде возмещения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 должно содержать:</w:t>
      </w:r>
    </w:p>
    <w:p w:rsidR="00B05E9A" w:rsidRDefault="00B05E9A" w:rsidP="00B05E9A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обязательство Субъекта по обеспечению деятельности центров (групп) времяпрепровождения детей, в том числе кратковременного пребывания детей и дошкольных образовательных центров в течение 3 лет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субсидии;</w:t>
      </w:r>
    </w:p>
    <w:p w:rsidR="00B05E9A" w:rsidRDefault="00B05E9A" w:rsidP="00B05E9A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обязательство Субъекта по обеспечению требований пожарной и санитарно-эпидемиологической безопасности.</w:t>
      </w:r>
    </w:p>
    <w:p w:rsidR="00B05E9A" w:rsidRDefault="00B05E9A" w:rsidP="00B05E9A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2.6.4.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Муниципальное образование осуществляет контроль над исполнением, принятых субъектом обязательств.</w:t>
      </w:r>
    </w:p>
    <w:p w:rsidR="00C519AD" w:rsidRPr="00E00454" w:rsidRDefault="00CD376C" w:rsidP="00E00454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несоблюдения Субъектом указанных обязательств субсидия по соглашению (договору) в полном объеме подлежит возврату в бюджет </w:t>
      </w:r>
      <w:r w:rsidR="00E004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округа город Мегион, в соответствии с действующим законодательством</w:t>
      </w:r>
      <w:proofErr w:type="gramStart"/>
      <w:r w:rsidR="00E004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E25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proofErr w:type="gramEnd"/>
    </w:p>
    <w:p w:rsidR="00A33A29" w:rsidRDefault="004D1B8E" w:rsidP="00A33A29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A29">
        <w:rPr>
          <w:rFonts w:ascii="Times New Roman" w:hAnsi="Times New Roman" w:cs="Times New Roman"/>
          <w:sz w:val="24"/>
          <w:szCs w:val="24"/>
        </w:rPr>
        <w:t xml:space="preserve"> 2.Управлению информационной политики администрации города опубликовать постановление в газете «</w:t>
      </w:r>
      <w:proofErr w:type="spellStart"/>
      <w:r w:rsidR="00A33A29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A33A29"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A33A29" w:rsidRDefault="00A33A29" w:rsidP="00A33A29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3.Настоящее постановление вступает в силу после его официального опубликования.</w:t>
      </w:r>
    </w:p>
    <w:p w:rsidR="00A33A29" w:rsidRDefault="00A33A29" w:rsidP="00A33A29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инвестиций администрации города.</w:t>
      </w:r>
    </w:p>
    <w:p w:rsidR="00A33A29" w:rsidRDefault="00A33A29" w:rsidP="00A33A29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A29" w:rsidRDefault="00A33A29" w:rsidP="00A33A29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50" w:rsidRDefault="00055450" w:rsidP="00A33A29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3E" w:rsidRPr="00473730" w:rsidRDefault="00A33A29" w:rsidP="00473730">
      <w:pPr>
        <w:widowControl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  <w:sectPr w:rsidR="00742B3E" w:rsidRPr="00473730" w:rsidSect="005712C1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33A29">
        <w:rPr>
          <w:rFonts w:ascii="Times New Roman" w:eastAsia="Calibri" w:hAnsi="Times New Roman" w:cs="Times New Roman"/>
          <w:bCs/>
          <w:kern w:val="28"/>
          <w:sz w:val="24"/>
          <w:szCs w:val="24"/>
        </w:rPr>
        <w:t>Глава города</w:t>
      </w:r>
      <w:r w:rsidRPr="00A33A29">
        <w:rPr>
          <w:rFonts w:ascii="Times New Roman" w:eastAsia="Calibri" w:hAnsi="Times New Roman" w:cs="Times New Roman"/>
          <w:bCs/>
          <w:kern w:val="28"/>
          <w:sz w:val="24"/>
          <w:szCs w:val="24"/>
        </w:rPr>
        <w:tab/>
      </w:r>
      <w:r w:rsidRPr="00A33A29">
        <w:rPr>
          <w:rFonts w:ascii="Times New Roman" w:eastAsia="Calibri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130761">
        <w:rPr>
          <w:rFonts w:ascii="Times New Roman" w:eastAsia="Calibri" w:hAnsi="Times New Roman" w:cs="Times New Roman"/>
          <w:bCs/>
          <w:kern w:val="28"/>
          <w:sz w:val="24"/>
          <w:szCs w:val="24"/>
        </w:rPr>
        <w:t>О.А.Дейнека</w:t>
      </w:r>
      <w:proofErr w:type="spellEnd"/>
      <w:r w:rsidRPr="00A33A29">
        <w:rPr>
          <w:rFonts w:ascii="Times New Roman" w:eastAsia="Calibri" w:hAnsi="Times New Roman" w:cs="Times New Roman"/>
          <w:bCs/>
          <w:kern w:val="28"/>
          <w:sz w:val="24"/>
          <w:szCs w:val="24"/>
        </w:rPr>
        <w:lastRenderedPageBreak/>
        <w:tab/>
      </w:r>
      <w:r w:rsidRPr="00A33A29">
        <w:rPr>
          <w:rFonts w:ascii="Times New Roman" w:eastAsia="Calibri" w:hAnsi="Times New Roman" w:cs="Times New Roman"/>
          <w:bCs/>
          <w:kern w:val="28"/>
          <w:sz w:val="24"/>
          <w:szCs w:val="24"/>
        </w:rPr>
        <w:tab/>
      </w:r>
      <w:r w:rsidRPr="00A33A29">
        <w:rPr>
          <w:rFonts w:ascii="Times New Roman" w:eastAsia="Calibri" w:hAnsi="Times New Roman" w:cs="Times New Roman"/>
          <w:bCs/>
          <w:kern w:val="28"/>
          <w:sz w:val="24"/>
          <w:szCs w:val="24"/>
        </w:rPr>
        <w:tab/>
      </w:r>
      <w:r w:rsidRPr="00A33A29">
        <w:rPr>
          <w:rFonts w:ascii="Times New Roman" w:eastAsia="Calibri" w:hAnsi="Times New Roman" w:cs="Times New Roman"/>
          <w:bCs/>
          <w:kern w:val="28"/>
          <w:sz w:val="24"/>
          <w:szCs w:val="24"/>
        </w:rPr>
        <w:tab/>
      </w:r>
      <w:r w:rsidRPr="00A33A29">
        <w:rPr>
          <w:rFonts w:ascii="Times New Roman" w:eastAsia="Calibri" w:hAnsi="Times New Roman" w:cs="Times New Roman"/>
          <w:bCs/>
          <w:kern w:val="28"/>
          <w:sz w:val="24"/>
          <w:szCs w:val="24"/>
        </w:rPr>
        <w:tab/>
      </w:r>
      <w:r w:rsidR="00E0045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         </w:t>
      </w:r>
    </w:p>
    <w:p w:rsidR="005C51FD" w:rsidRPr="001F27B1" w:rsidRDefault="005C51FD" w:rsidP="00866D3A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1FD" w:rsidRPr="001F27B1" w:rsidSect="004737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25" w:rsidRDefault="00BA4C25" w:rsidP="005712C1">
      <w:pPr>
        <w:spacing w:after="0" w:line="240" w:lineRule="auto"/>
      </w:pPr>
      <w:r>
        <w:separator/>
      </w:r>
    </w:p>
  </w:endnote>
  <w:endnote w:type="continuationSeparator" w:id="0">
    <w:p w:rsidR="00BA4C25" w:rsidRDefault="00BA4C25" w:rsidP="0057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25" w:rsidRDefault="00BA4C25" w:rsidP="005712C1">
      <w:pPr>
        <w:spacing w:after="0" w:line="240" w:lineRule="auto"/>
      </w:pPr>
      <w:r>
        <w:separator/>
      </w:r>
    </w:p>
  </w:footnote>
  <w:footnote w:type="continuationSeparator" w:id="0">
    <w:p w:rsidR="00BA4C25" w:rsidRDefault="00BA4C25" w:rsidP="0057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0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D3A" w:rsidRPr="00866D3A" w:rsidRDefault="00866D3A">
        <w:pPr>
          <w:pStyle w:val="a4"/>
          <w:jc w:val="center"/>
          <w:rPr>
            <w:rFonts w:ascii="Times New Roman" w:hAnsi="Times New Roman" w:cs="Times New Roman"/>
          </w:rPr>
        </w:pPr>
        <w:r w:rsidRPr="00866D3A">
          <w:rPr>
            <w:rFonts w:ascii="Times New Roman" w:hAnsi="Times New Roman" w:cs="Times New Roman"/>
          </w:rPr>
          <w:fldChar w:fldCharType="begin"/>
        </w:r>
        <w:r w:rsidRPr="00866D3A">
          <w:rPr>
            <w:rFonts w:ascii="Times New Roman" w:hAnsi="Times New Roman" w:cs="Times New Roman"/>
          </w:rPr>
          <w:instrText>PAGE   \* MERGEFORMAT</w:instrText>
        </w:r>
        <w:r w:rsidRPr="00866D3A">
          <w:rPr>
            <w:rFonts w:ascii="Times New Roman" w:hAnsi="Times New Roman" w:cs="Times New Roman"/>
          </w:rPr>
          <w:fldChar w:fldCharType="separate"/>
        </w:r>
        <w:r w:rsidR="00B05E9A">
          <w:rPr>
            <w:rFonts w:ascii="Times New Roman" w:hAnsi="Times New Roman" w:cs="Times New Roman"/>
            <w:noProof/>
          </w:rPr>
          <w:t>4</w:t>
        </w:r>
        <w:r w:rsidRPr="00866D3A">
          <w:rPr>
            <w:rFonts w:ascii="Times New Roman" w:hAnsi="Times New Roman" w:cs="Times New Roman"/>
          </w:rPr>
          <w:fldChar w:fldCharType="end"/>
        </w:r>
      </w:p>
    </w:sdtContent>
  </w:sdt>
  <w:p w:rsidR="007A2293" w:rsidRDefault="007A22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BC"/>
    <w:rsid w:val="00005F5D"/>
    <w:rsid w:val="00026496"/>
    <w:rsid w:val="00035B56"/>
    <w:rsid w:val="00037E38"/>
    <w:rsid w:val="00055450"/>
    <w:rsid w:val="00071AAF"/>
    <w:rsid w:val="0008240A"/>
    <w:rsid w:val="00094099"/>
    <w:rsid w:val="000964AE"/>
    <w:rsid w:val="00104567"/>
    <w:rsid w:val="00117454"/>
    <w:rsid w:val="00130761"/>
    <w:rsid w:val="00132241"/>
    <w:rsid w:val="00133BBE"/>
    <w:rsid w:val="00150A9F"/>
    <w:rsid w:val="00156351"/>
    <w:rsid w:val="00197A90"/>
    <w:rsid w:val="001D0BF8"/>
    <w:rsid w:val="001D5415"/>
    <w:rsid w:val="001D7FF9"/>
    <w:rsid w:val="001F27B1"/>
    <w:rsid w:val="00223610"/>
    <w:rsid w:val="00244631"/>
    <w:rsid w:val="00253556"/>
    <w:rsid w:val="002A0A40"/>
    <w:rsid w:val="002A2E64"/>
    <w:rsid w:val="002B1652"/>
    <w:rsid w:val="002D1F18"/>
    <w:rsid w:val="002D27FE"/>
    <w:rsid w:val="002E068B"/>
    <w:rsid w:val="002E3974"/>
    <w:rsid w:val="002E51F6"/>
    <w:rsid w:val="00301D6E"/>
    <w:rsid w:val="0032600B"/>
    <w:rsid w:val="003366CB"/>
    <w:rsid w:val="0035557D"/>
    <w:rsid w:val="00357815"/>
    <w:rsid w:val="00357C58"/>
    <w:rsid w:val="00366442"/>
    <w:rsid w:val="0038012E"/>
    <w:rsid w:val="00391AB3"/>
    <w:rsid w:val="003A2D51"/>
    <w:rsid w:val="003A39A9"/>
    <w:rsid w:val="003C5854"/>
    <w:rsid w:val="003D1CA0"/>
    <w:rsid w:val="003D2420"/>
    <w:rsid w:val="003D29E3"/>
    <w:rsid w:val="003D41BA"/>
    <w:rsid w:val="003E11F3"/>
    <w:rsid w:val="003F1D74"/>
    <w:rsid w:val="003F2F97"/>
    <w:rsid w:val="00404CFE"/>
    <w:rsid w:val="0041050F"/>
    <w:rsid w:val="00423CA3"/>
    <w:rsid w:val="00437744"/>
    <w:rsid w:val="0045451B"/>
    <w:rsid w:val="0046295C"/>
    <w:rsid w:val="004631C5"/>
    <w:rsid w:val="004705B9"/>
    <w:rsid w:val="00473730"/>
    <w:rsid w:val="00492DFA"/>
    <w:rsid w:val="004D1B8E"/>
    <w:rsid w:val="004D21CA"/>
    <w:rsid w:val="004F2394"/>
    <w:rsid w:val="004F2B45"/>
    <w:rsid w:val="00502006"/>
    <w:rsid w:val="005113A7"/>
    <w:rsid w:val="005134E7"/>
    <w:rsid w:val="00517A78"/>
    <w:rsid w:val="005324AE"/>
    <w:rsid w:val="00537176"/>
    <w:rsid w:val="00542127"/>
    <w:rsid w:val="00563104"/>
    <w:rsid w:val="005712C1"/>
    <w:rsid w:val="00590258"/>
    <w:rsid w:val="00590275"/>
    <w:rsid w:val="005A45E6"/>
    <w:rsid w:val="005B174A"/>
    <w:rsid w:val="005B3D2B"/>
    <w:rsid w:val="005C51FD"/>
    <w:rsid w:val="005D11DB"/>
    <w:rsid w:val="0060637A"/>
    <w:rsid w:val="0068057A"/>
    <w:rsid w:val="00687934"/>
    <w:rsid w:val="0069008B"/>
    <w:rsid w:val="006A49A6"/>
    <w:rsid w:val="006B1AEB"/>
    <w:rsid w:val="00742B3E"/>
    <w:rsid w:val="007622BC"/>
    <w:rsid w:val="007A0224"/>
    <w:rsid w:val="007A2293"/>
    <w:rsid w:val="007A5633"/>
    <w:rsid w:val="007A7C25"/>
    <w:rsid w:val="007B1FBF"/>
    <w:rsid w:val="007D0B92"/>
    <w:rsid w:val="007F5085"/>
    <w:rsid w:val="00815393"/>
    <w:rsid w:val="00820A3B"/>
    <w:rsid w:val="00832811"/>
    <w:rsid w:val="00836EFE"/>
    <w:rsid w:val="00840D6C"/>
    <w:rsid w:val="00844672"/>
    <w:rsid w:val="0085006E"/>
    <w:rsid w:val="00864E48"/>
    <w:rsid w:val="00866D3A"/>
    <w:rsid w:val="008877DE"/>
    <w:rsid w:val="00895E0B"/>
    <w:rsid w:val="008A2245"/>
    <w:rsid w:val="008A7595"/>
    <w:rsid w:val="008B46B0"/>
    <w:rsid w:val="008B4CE8"/>
    <w:rsid w:val="008C371A"/>
    <w:rsid w:val="008D575E"/>
    <w:rsid w:val="00901224"/>
    <w:rsid w:val="00922EC5"/>
    <w:rsid w:val="009333DB"/>
    <w:rsid w:val="00962251"/>
    <w:rsid w:val="00967657"/>
    <w:rsid w:val="009826C1"/>
    <w:rsid w:val="00982F00"/>
    <w:rsid w:val="009C0FA6"/>
    <w:rsid w:val="009E7828"/>
    <w:rsid w:val="009E7E69"/>
    <w:rsid w:val="00A0703D"/>
    <w:rsid w:val="00A33A29"/>
    <w:rsid w:val="00A43471"/>
    <w:rsid w:val="00A479F8"/>
    <w:rsid w:val="00A538D0"/>
    <w:rsid w:val="00A5578B"/>
    <w:rsid w:val="00A72018"/>
    <w:rsid w:val="00A85F2C"/>
    <w:rsid w:val="00A95361"/>
    <w:rsid w:val="00AB758B"/>
    <w:rsid w:val="00AC114F"/>
    <w:rsid w:val="00B05E9A"/>
    <w:rsid w:val="00B214A0"/>
    <w:rsid w:val="00B3659E"/>
    <w:rsid w:val="00B44510"/>
    <w:rsid w:val="00B5651C"/>
    <w:rsid w:val="00B717F1"/>
    <w:rsid w:val="00B86C56"/>
    <w:rsid w:val="00BA4C25"/>
    <w:rsid w:val="00BB13A9"/>
    <w:rsid w:val="00BB592C"/>
    <w:rsid w:val="00BB5F8B"/>
    <w:rsid w:val="00BC2A7E"/>
    <w:rsid w:val="00BD42C6"/>
    <w:rsid w:val="00BE4616"/>
    <w:rsid w:val="00BE632C"/>
    <w:rsid w:val="00C052E7"/>
    <w:rsid w:val="00C44E26"/>
    <w:rsid w:val="00C519AD"/>
    <w:rsid w:val="00C64D8A"/>
    <w:rsid w:val="00CD376C"/>
    <w:rsid w:val="00D004F0"/>
    <w:rsid w:val="00D57BF0"/>
    <w:rsid w:val="00D724DE"/>
    <w:rsid w:val="00D727CC"/>
    <w:rsid w:val="00D90EAA"/>
    <w:rsid w:val="00D96333"/>
    <w:rsid w:val="00DB17E0"/>
    <w:rsid w:val="00DF1D88"/>
    <w:rsid w:val="00DF390F"/>
    <w:rsid w:val="00DF5123"/>
    <w:rsid w:val="00E00454"/>
    <w:rsid w:val="00E06D56"/>
    <w:rsid w:val="00E2569A"/>
    <w:rsid w:val="00E3048D"/>
    <w:rsid w:val="00E4318B"/>
    <w:rsid w:val="00E544E5"/>
    <w:rsid w:val="00E66052"/>
    <w:rsid w:val="00E822D0"/>
    <w:rsid w:val="00EA2161"/>
    <w:rsid w:val="00EA31D3"/>
    <w:rsid w:val="00EB2C78"/>
    <w:rsid w:val="00EB7A96"/>
    <w:rsid w:val="00F02AB0"/>
    <w:rsid w:val="00F0372F"/>
    <w:rsid w:val="00F128DF"/>
    <w:rsid w:val="00FA147C"/>
    <w:rsid w:val="00FA5502"/>
    <w:rsid w:val="00FA63A0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2C1"/>
  </w:style>
  <w:style w:type="paragraph" w:styleId="a6">
    <w:name w:val="footer"/>
    <w:basedOn w:val="a"/>
    <w:link w:val="a7"/>
    <w:uiPriority w:val="99"/>
    <w:unhideWhenUsed/>
    <w:rsid w:val="0057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2C1"/>
  </w:style>
  <w:style w:type="paragraph" w:styleId="a8">
    <w:name w:val="Balloon Text"/>
    <w:basedOn w:val="a"/>
    <w:link w:val="a9"/>
    <w:uiPriority w:val="99"/>
    <w:semiHidden/>
    <w:unhideWhenUsed/>
    <w:rsid w:val="00B3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39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42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2C1"/>
  </w:style>
  <w:style w:type="paragraph" w:styleId="a6">
    <w:name w:val="footer"/>
    <w:basedOn w:val="a"/>
    <w:link w:val="a7"/>
    <w:uiPriority w:val="99"/>
    <w:unhideWhenUsed/>
    <w:rsid w:val="0057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2C1"/>
  </w:style>
  <w:style w:type="paragraph" w:styleId="a8">
    <w:name w:val="Balloon Text"/>
    <w:basedOn w:val="a"/>
    <w:link w:val="a9"/>
    <w:uiPriority w:val="99"/>
    <w:semiHidden/>
    <w:unhideWhenUsed/>
    <w:rsid w:val="00B3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39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4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xport-ug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0E17-891A-4840-9E32-1CE3449B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Фрезе Валерия Павловна</dc:creator>
  <cp:lastModifiedBy>Фрезе Валерия Павловна</cp:lastModifiedBy>
  <cp:revision>7</cp:revision>
  <cp:lastPrinted>2019-07-05T05:42:00Z</cp:lastPrinted>
  <dcterms:created xsi:type="dcterms:W3CDTF">2019-07-03T05:35:00Z</dcterms:created>
  <dcterms:modified xsi:type="dcterms:W3CDTF">2019-07-05T05:42:00Z</dcterms:modified>
</cp:coreProperties>
</file>