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43" w:rsidRPr="00906EA7" w:rsidRDefault="00606F09" w:rsidP="0097253F">
      <w:pPr>
        <w:widowControl w:val="0"/>
        <w:spacing w:after="0" w:line="240" w:lineRule="auto"/>
        <w:ind w:firstLine="709"/>
        <w:jc w:val="center"/>
        <w:rPr>
          <w:rFonts w:ascii="Times New Roman" w:eastAsia="Times New Roman" w:hAnsi="Times New Roman" w:cs="Times New Roman"/>
          <w:b/>
          <w:bCs/>
          <w:sz w:val="24"/>
          <w:szCs w:val="24"/>
          <w:lang w:eastAsia="ru-RU"/>
        </w:rPr>
      </w:pPr>
      <w:r w:rsidRPr="00906EA7">
        <w:rPr>
          <w:rFonts w:ascii="Times New Roman" w:eastAsia="Times New Roman" w:hAnsi="Times New Roman" w:cs="Times New Roman"/>
          <w:b/>
          <w:bCs/>
          <w:sz w:val="24"/>
          <w:szCs w:val="24"/>
          <w:lang w:eastAsia="ru-RU"/>
        </w:rPr>
        <w:t xml:space="preserve">Итоги социально-экономического развития </w:t>
      </w:r>
    </w:p>
    <w:p w:rsidR="00F45943" w:rsidRPr="00906EA7" w:rsidRDefault="00606F09" w:rsidP="0097253F">
      <w:pPr>
        <w:widowControl w:val="0"/>
        <w:spacing w:after="0" w:line="240" w:lineRule="auto"/>
        <w:ind w:firstLine="709"/>
        <w:jc w:val="center"/>
        <w:rPr>
          <w:rFonts w:ascii="Times New Roman" w:eastAsia="Times New Roman" w:hAnsi="Times New Roman" w:cs="Times New Roman"/>
          <w:b/>
          <w:bCs/>
          <w:sz w:val="24"/>
          <w:szCs w:val="24"/>
          <w:lang w:eastAsia="ru-RU"/>
        </w:rPr>
      </w:pPr>
      <w:r w:rsidRPr="00906EA7">
        <w:rPr>
          <w:rFonts w:ascii="Times New Roman" w:eastAsia="Times New Roman" w:hAnsi="Times New Roman" w:cs="Times New Roman"/>
          <w:b/>
          <w:bCs/>
          <w:sz w:val="24"/>
          <w:szCs w:val="24"/>
          <w:lang w:eastAsia="ru-RU"/>
        </w:rPr>
        <w:t>городского округа город Мегион</w:t>
      </w:r>
      <w:r w:rsidR="00F45943" w:rsidRPr="00906EA7">
        <w:rPr>
          <w:rFonts w:ascii="Times New Roman" w:eastAsia="Times New Roman" w:hAnsi="Times New Roman" w:cs="Times New Roman"/>
          <w:b/>
          <w:bCs/>
          <w:sz w:val="24"/>
          <w:szCs w:val="24"/>
          <w:lang w:eastAsia="ru-RU"/>
        </w:rPr>
        <w:t xml:space="preserve"> за 201</w:t>
      </w:r>
      <w:r w:rsidR="00802B43" w:rsidRPr="00906EA7">
        <w:rPr>
          <w:rFonts w:ascii="Times New Roman" w:eastAsia="Times New Roman" w:hAnsi="Times New Roman" w:cs="Times New Roman"/>
          <w:b/>
          <w:bCs/>
          <w:sz w:val="24"/>
          <w:szCs w:val="24"/>
          <w:lang w:eastAsia="ru-RU"/>
        </w:rPr>
        <w:t>9</w:t>
      </w:r>
      <w:r w:rsidR="00F45943" w:rsidRPr="00906EA7">
        <w:rPr>
          <w:rFonts w:ascii="Times New Roman" w:eastAsia="Times New Roman" w:hAnsi="Times New Roman" w:cs="Times New Roman"/>
          <w:b/>
          <w:bCs/>
          <w:sz w:val="24"/>
          <w:szCs w:val="24"/>
          <w:lang w:eastAsia="ru-RU"/>
        </w:rPr>
        <w:t xml:space="preserve"> год</w:t>
      </w:r>
    </w:p>
    <w:p w:rsidR="00606F09" w:rsidRPr="00906EA7" w:rsidRDefault="00606F09" w:rsidP="0097253F">
      <w:pPr>
        <w:widowControl w:val="0"/>
        <w:spacing w:after="0" w:line="240" w:lineRule="auto"/>
        <w:ind w:firstLine="709"/>
        <w:rPr>
          <w:rFonts w:ascii="Times New Roman" w:eastAsia="Times New Roman" w:hAnsi="Times New Roman" w:cs="Times New Roman"/>
          <w:b/>
          <w:bCs/>
          <w:sz w:val="24"/>
          <w:szCs w:val="24"/>
          <w:lang w:eastAsia="ru-RU"/>
        </w:rPr>
      </w:pPr>
    </w:p>
    <w:p w:rsidR="003F312B" w:rsidRPr="00906EA7" w:rsidRDefault="003F312B" w:rsidP="0097253F">
      <w:pPr>
        <w:pStyle w:val="ae"/>
        <w:spacing w:before="0" w:beforeAutospacing="0" w:after="0" w:afterAutospacing="0"/>
        <w:ind w:firstLine="700"/>
        <w:jc w:val="both"/>
      </w:pPr>
      <w:r w:rsidRPr="00906EA7">
        <w:t>Итоги социально-экономического развития городского округа город Мегион сформированы в целях комплексной оценки социально-экономической ситуации территории, оперативного и своевременного выявления тенденций, происходящих в социально-экономическом развитии городского округа, предупреждения и устранения последствий негативных явлений в социально-экономической ситуации городского округа.</w:t>
      </w:r>
    </w:p>
    <w:p w:rsidR="003F312B" w:rsidRPr="00906EA7" w:rsidRDefault="003F312B" w:rsidP="0097253F">
      <w:pPr>
        <w:pStyle w:val="ae"/>
        <w:spacing w:before="0" w:beforeAutospacing="0" w:after="0" w:afterAutospacing="0"/>
        <w:ind w:firstLine="700"/>
        <w:jc w:val="both"/>
      </w:pPr>
      <w:r w:rsidRPr="00906EA7">
        <w:t xml:space="preserve">Исходной базой для формирования итогов социально-экономического развития территории являются сведения статистической отчетности </w:t>
      </w:r>
      <w:r w:rsidRPr="00906EA7">
        <w:rPr>
          <w:rFonts w:eastAsia="Calibri"/>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 Югре</w:t>
      </w:r>
      <w:r w:rsidRPr="00906EA7">
        <w:t>, информация органов администрации города, учреждений и предприятий, осуществляющих свою деятельность на территории города.</w:t>
      </w:r>
    </w:p>
    <w:p w:rsidR="003031A5" w:rsidRPr="00906EA7" w:rsidRDefault="003F312B" w:rsidP="0097253F">
      <w:pPr>
        <w:pStyle w:val="ae"/>
        <w:spacing w:before="0" w:beforeAutospacing="0" w:after="0" w:afterAutospacing="0"/>
        <w:ind w:firstLine="700"/>
        <w:jc w:val="both"/>
      </w:pPr>
      <w:r w:rsidRPr="00906EA7">
        <w:t>Также в данном документе, в связи с предоставленными уточненными статистическими данны</w:t>
      </w:r>
      <w:r w:rsidR="00802B43" w:rsidRPr="00906EA7">
        <w:t>ми</w:t>
      </w:r>
      <w:r w:rsidRPr="00906EA7">
        <w:t xml:space="preserve">, </w:t>
      </w:r>
      <w:r w:rsidR="00915928" w:rsidRPr="00906EA7">
        <w:t>скорректированы</w:t>
      </w:r>
      <w:r w:rsidRPr="00906EA7">
        <w:t xml:space="preserve"> показатели за 201</w:t>
      </w:r>
      <w:r w:rsidR="00802B43" w:rsidRPr="00906EA7">
        <w:t>8</w:t>
      </w:r>
      <w:r w:rsidRPr="00906EA7">
        <w:t>-201</w:t>
      </w:r>
      <w:r w:rsidR="00802B43" w:rsidRPr="00906EA7">
        <w:t>9</w:t>
      </w:r>
      <w:r w:rsidR="00CB1F6A" w:rsidRPr="00906EA7">
        <w:t xml:space="preserve"> годы, представленные ранее</w:t>
      </w:r>
      <w:r w:rsidR="003031A5" w:rsidRPr="00906EA7">
        <w:t>:</w:t>
      </w:r>
    </w:p>
    <w:p w:rsidR="003031A5" w:rsidRPr="00906EA7" w:rsidRDefault="00CB1F6A" w:rsidP="0097253F">
      <w:pPr>
        <w:pStyle w:val="ae"/>
        <w:spacing w:before="0" w:beforeAutospacing="0" w:after="0" w:afterAutospacing="0"/>
        <w:ind w:firstLine="700"/>
        <w:jc w:val="both"/>
      </w:pPr>
      <w:r w:rsidRPr="00906EA7">
        <w:t xml:space="preserve">в </w:t>
      </w:r>
      <w:r w:rsidR="003F312B" w:rsidRPr="00906EA7">
        <w:t>предварительных итогах социально-экономического развития городского округа город Мегион за 201</w:t>
      </w:r>
      <w:r w:rsidR="00802B43" w:rsidRPr="00906EA7">
        <w:t>9</w:t>
      </w:r>
      <w:r w:rsidR="003031A5" w:rsidRPr="00906EA7">
        <w:t xml:space="preserve"> год к проекту бюджета города;</w:t>
      </w:r>
    </w:p>
    <w:p w:rsidR="003F312B" w:rsidRPr="00906EA7" w:rsidRDefault="003F312B" w:rsidP="0097253F">
      <w:pPr>
        <w:pStyle w:val="ae"/>
        <w:spacing w:before="0" w:beforeAutospacing="0" w:after="0" w:afterAutospacing="0"/>
        <w:ind w:firstLine="700"/>
        <w:jc w:val="both"/>
      </w:pPr>
      <w:r w:rsidRPr="00906EA7">
        <w:t>в отчет</w:t>
      </w:r>
      <w:r w:rsidR="003031A5" w:rsidRPr="00906EA7">
        <w:t>е</w:t>
      </w:r>
      <w:r w:rsidRPr="00906EA7">
        <w:t xml:space="preserve"> главы города Мегиона о результатах его деятельности, деятельности администрации города Мегиона за 201</w:t>
      </w:r>
      <w:r w:rsidR="00802B43" w:rsidRPr="00906EA7">
        <w:t>9</w:t>
      </w:r>
      <w:r w:rsidRPr="00906EA7">
        <w:t xml:space="preserve"> год.</w:t>
      </w:r>
    </w:p>
    <w:p w:rsidR="00F546EE" w:rsidRPr="00906EA7" w:rsidRDefault="00F546EE" w:rsidP="0097253F">
      <w:pPr>
        <w:widowControl w:val="0"/>
        <w:spacing w:after="0" w:line="240" w:lineRule="auto"/>
        <w:ind w:firstLine="709"/>
        <w:rPr>
          <w:rFonts w:ascii="Times New Roman" w:eastAsia="Times New Roman" w:hAnsi="Times New Roman" w:cs="Times New Roman"/>
          <w:b/>
          <w:bCs/>
          <w:sz w:val="24"/>
          <w:szCs w:val="24"/>
          <w:lang w:eastAsia="ru-RU"/>
        </w:rPr>
      </w:pPr>
    </w:p>
    <w:p w:rsidR="00DA602C" w:rsidRPr="00906EA7" w:rsidRDefault="00DA602C" w:rsidP="0097253F">
      <w:pPr>
        <w:widowControl w:val="0"/>
        <w:spacing w:after="0" w:line="240" w:lineRule="auto"/>
        <w:ind w:firstLine="709"/>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ДЕМОГРАФИЧЕСКАЯ СИТУАЦИЯ</w:t>
      </w:r>
    </w:p>
    <w:p w:rsidR="00DA602C" w:rsidRPr="00906EA7" w:rsidRDefault="00DA602C" w:rsidP="0097253F">
      <w:pPr>
        <w:spacing w:after="0" w:line="240" w:lineRule="auto"/>
        <w:ind w:firstLine="708"/>
        <w:jc w:val="both"/>
        <w:rPr>
          <w:rFonts w:ascii="Times New Roman" w:eastAsia="Times New Roman" w:hAnsi="Times New Roman" w:cs="Times New Roman"/>
          <w:b/>
          <w:bCs/>
          <w:sz w:val="24"/>
          <w:szCs w:val="24"/>
          <w:lang w:eastAsia="ru-RU"/>
        </w:rPr>
      </w:pP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Численность населения городского округа город Мегион </w:t>
      </w:r>
      <w:r w:rsidR="00F546EE" w:rsidRPr="00906EA7">
        <w:rPr>
          <w:rFonts w:ascii="Times New Roman" w:eastAsia="Times New Roman" w:hAnsi="Times New Roman" w:cs="Times New Roman"/>
          <w:sz w:val="24"/>
          <w:szCs w:val="24"/>
          <w:lang w:eastAsia="ru-RU"/>
        </w:rPr>
        <w:t>несколько снизилась</w:t>
      </w:r>
      <w:r w:rsidRPr="00906EA7">
        <w:rPr>
          <w:rFonts w:ascii="Times New Roman" w:eastAsia="Times New Roman" w:hAnsi="Times New Roman" w:cs="Times New Roman"/>
          <w:sz w:val="24"/>
          <w:szCs w:val="24"/>
          <w:lang w:eastAsia="ru-RU"/>
        </w:rPr>
        <w:t xml:space="preserve"> и по состоянию на 01.01.20</w:t>
      </w:r>
      <w:r w:rsidR="00802B43" w:rsidRPr="00906EA7">
        <w:rPr>
          <w:rFonts w:ascii="Times New Roman" w:eastAsia="Times New Roman" w:hAnsi="Times New Roman" w:cs="Times New Roman"/>
          <w:sz w:val="24"/>
          <w:szCs w:val="24"/>
          <w:lang w:eastAsia="ru-RU"/>
        </w:rPr>
        <w:t>20</w:t>
      </w:r>
      <w:r w:rsidR="004A05D9" w:rsidRPr="00906EA7">
        <w:rPr>
          <w:rFonts w:ascii="Times New Roman" w:eastAsia="Times New Roman" w:hAnsi="Times New Roman" w:cs="Times New Roman"/>
          <w:sz w:val="24"/>
          <w:szCs w:val="24"/>
          <w:lang w:eastAsia="ru-RU"/>
        </w:rPr>
        <w:t>, по предварительным данным,</w:t>
      </w:r>
      <w:r w:rsidRPr="00906EA7">
        <w:rPr>
          <w:rFonts w:ascii="Times New Roman" w:eastAsia="Times New Roman" w:hAnsi="Times New Roman" w:cs="Times New Roman"/>
          <w:sz w:val="24"/>
          <w:szCs w:val="24"/>
          <w:lang w:eastAsia="ru-RU"/>
        </w:rPr>
        <w:t xml:space="preserve"> составляет </w:t>
      </w:r>
      <w:r w:rsidR="00B204B5" w:rsidRPr="00906EA7">
        <w:rPr>
          <w:rFonts w:ascii="Times New Roman" w:eastAsia="Times New Roman" w:hAnsi="Times New Roman" w:cs="Times New Roman"/>
          <w:sz w:val="24"/>
          <w:szCs w:val="24"/>
          <w:lang w:eastAsia="ru-RU"/>
        </w:rPr>
        <w:t>53788</w:t>
      </w:r>
      <w:r w:rsidR="00D102EA"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же 99,</w:t>
      </w:r>
      <w:r w:rsidR="00B204B5"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 xml:space="preserve">% </w:t>
      </w:r>
      <w:r w:rsidR="006C207F" w:rsidRPr="00906EA7">
        <w:rPr>
          <w:rFonts w:ascii="Times New Roman" w:eastAsia="Times New Roman" w:hAnsi="Times New Roman" w:cs="Times New Roman"/>
          <w:sz w:val="24"/>
          <w:szCs w:val="24"/>
          <w:lang w:eastAsia="ru-RU"/>
        </w:rPr>
        <w:t>значения</w:t>
      </w:r>
      <w:r w:rsidRPr="00906EA7">
        <w:rPr>
          <w:rFonts w:ascii="Times New Roman" w:eastAsia="Times New Roman" w:hAnsi="Times New Roman" w:cs="Times New Roman"/>
          <w:sz w:val="24"/>
          <w:szCs w:val="24"/>
          <w:lang w:eastAsia="ru-RU"/>
        </w:rPr>
        <w:t xml:space="preserve"> показателя 201</w:t>
      </w:r>
      <w:r w:rsidR="00802B43"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года. </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за год сократилась на 4</w:t>
      </w:r>
      <w:r w:rsidR="00B204B5" w:rsidRPr="00906EA7">
        <w:rPr>
          <w:rFonts w:ascii="Times New Roman" w:eastAsia="Times New Roman" w:hAnsi="Times New Roman" w:cs="Times New Roman"/>
          <w:sz w:val="24"/>
          <w:szCs w:val="24"/>
          <w:lang w:eastAsia="ru-RU"/>
        </w:rPr>
        <w:t>11</w:t>
      </w:r>
      <w:r w:rsidR="00D102EA" w:rsidRPr="00906EA7">
        <w:rPr>
          <w:rFonts w:ascii="Times New Roman" w:eastAsia="Times New Roman" w:hAnsi="Times New Roman" w:cs="Times New Roman"/>
          <w:sz w:val="24"/>
          <w:szCs w:val="24"/>
          <w:lang w:eastAsia="ru-RU"/>
        </w:rPr>
        <w:t xml:space="preserve"> </w:t>
      </w:r>
      <w:r w:rsidR="00C96953">
        <w:rPr>
          <w:rFonts w:ascii="Times New Roman" w:eastAsia="Times New Roman" w:hAnsi="Times New Roman" w:cs="Times New Roman"/>
          <w:sz w:val="24"/>
          <w:szCs w:val="24"/>
          <w:lang w:eastAsia="ru-RU"/>
        </w:rPr>
        <w:t>человек в с</w:t>
      </w:r>
      <w:r w:rsidRPr="00906EA7">
        <w:rPr>
          <w:rFonts w:ascii="Times New Roman" w:eastAsia="Times New Roman" w:hAnsi="Times New Roman" w:cs="Times New Roman"/>
          <w:sz w:val="24"/>
          <w:szCs w:val="24"/>
          <w:lang w:eastAsia="ru-RU"/>
        </w:rPr>
        <w:t>вязи с сокращением показателей естественного движения и с сохранением отрицательного итога миграционного движения населения.</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Соответственно среднегодовая численность за 201</w:t>
      </w:r>
      <w:r w:rsidR="00802B43"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сократилась  на </w:t>
      </w:r>
      <w:r w:rsidR="00B204B5" w:rsidRPr="00906EA7">
        <w:rPr>
          <w:rFonts w:ascii="Times New Roman" w:eastAsia="Times New Roman" w:hAnsi="Times New Roman" w:cs="Times New Roman"/>
          <w:sz w:val="24"/>
          <w:szCs w:val="24"/>
          <w:lang w:eastAsia="ru-RU"/>
        </w:rPr>
        <w:t>0,8</w:t>
      </w:r>
      <w:r w:rsidRPr="00906EA7">
        <w:rPr>
          <w:rFonts w:ascii="Times New Roman" w:eastAsia="Times New Roman" w:hAnsi="Times New Roman" w:cs="Times New Roman"/>
          <w:sz w:val="24"/>
          <w:szCs w:val="24"/>
          <w:lang w:eastAsia="ru-RU"/>
        </w:rPr>
        <w:t>%</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 составила </w:t>
      </w:r>
      <w:r w:rsidR="00B204B5" w:rsidRPr="00906EA7">
        <w:rPr>
          <w:rFonts w:ascii="Times New Roman" w:eastAsia="Times New Roman" w:hAnsi="Times New Roman" w:cs="Times New Roman"/>
          <w:sz w:val="24"/>
          <w:szCs w:val="24"/>
          <w:lang w:eastAsia="ru-RU"/>
        </w:rPr>
        <w:t>53994</w:t>
      </w:r>
      <w:r w:rsidRPr="00906EA7">
        <w:rPr>
          <w:rFonts w:ascii="Times New Roman" w:eastAsia="Times New Roman" w:hAnsi="Times New Roman" w:cs="Times New Roman"/>
          <w:sz w:val="24"/>
          <w:szCs w:val="24"/>
          <w:lang w:eastAsia="ru-RU"/>
        </w:rPr>
        <w:t xml:space="preserve"> человек</w:t>
      </w:r>
      <w:r w:rsidR="00616148"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против </w:t>
      </w:r>
      <w:r w:rsidR="00802B43" w:rsidRPr="00906EA7">
        <w:rPr>
          <w:rFonts w:ascii="Times New Roman" w:eastAsia="Times New Roman" w:hAnsi="Times New Roman" w:cs="Times New Roman"/>
          <w:sz w:val="24"/>
          <w:szCs w:val="24"/>
          <w:lang w:eastAsia="ru-RU"/>
        </w:rPr>
        <w:t>54434</w:t>
      </w:r>
      <w:r w:rsidRPr="00906EA7">
        <w:rPr>
          <w:rFonts w:ascii="Times New Roman" w:eastAsia="Times New Roman" w:hAnsi="Times New Roman" w:cs="Times New Roman"/>
          <w:sz w:val="24"/>
          <w:szCs w:val="24"/>
          <w:lang w:eastAsia="ru-RU"/>
        </w:rPr>
        <w:t xml:space="preserve"> за 201</w:t>
      </w:r>
      <w:r w:rsidR="00802B43"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 рост, и сокращение численности населения обеспечиваются итогами двух источников - естественного и миграционного движения.</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p>
    <w:p w:rsidR="00717824" w:rsidRPr="00906EA7" w:rsidRDefault="0071782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Естественное движение населения</w:t>
      </w:r>
    </w:p>
    <w:p w:rsidR="00717824" w:rsidRPr="00906EA7" w:rsidRDefault="00717824" w:rsidP="0097253F">
      <w:pPr>
        <w:widowControl w:val="0"/>
        <w:spacing w:after="0" w:line="240" w:lineRule="auto"/>
        <w:ind w:firstLine="709"/>
        <w:jc w:val="both"/>
        <w:rPr>
          <w:rFonts w:ascii="Times New Roman" w:hAnsi="Times New Roman" w:cs="Times New Roman"/>
          <w:sz w:val="24"/>
          <w:szCs w:val="24"/>
        </w:rPr>
      </w:pP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Определяющим </w:t>
      </w:r>
      <w:r w:rsidR="000E7847" w:rsidRPr="00906EA7">
        <w:rPr>
          <w:rFonts w:ascii="Times New Roman" w:eastAsia="Times New Roman" w:hAnsi="Times New Roman" w:cs="Times New Roman"/>
          <w:sz w:val="24"/>
          <w:szCs w:val="24"/>
          <w:lang w:eastAsia="ru-RU"/>
        </w:rPr>
        <w:t>фактором</w:t>
      </w:r>
      <w:r w:rsidR="00332432" w:rsidRPr="00906EA7">
        <w:rPr>
          <w:rFonts w:ascii="Times New Roman" w:eastAsia="Times New Roman" w:hAnsi="Times New Roman" w:cs="Times New Roman"/>
          <w:sz w:val="24"/>
          <w:szCs w:val="24"/>
          <w:lang w:eastAsia="ru-RU"/>
        </w:rPr>
        <w:t xml:space="preserve"> роста численности населения в течение</w:t>
      </w:r>
      <w:r w:rsidR="000E7847" w:rsidRPr="00906EA7">
        <w:rPr>
          <w:rFonts w:ascii="Times New Roman" w:eastAsia="Times New Roman" w:hAnsi="Times New Roman" w:cs="Times New Roman"/>
          <w:sz w:val="24"/>
          <w:szCs w:val="24"/>
          <w:lang w:eastAsia="ru-RU"/>
        </w:rPr>
        <w:t xml:space="preserve"> последних лет </w:t>
      </w:r>
      <w:r w:rsidRPr="00906EA7">
        <w:rPr>
          <w:rFonts w:ascii="Times New Roman" w:eastAsia="Times New Roman" w:hAnsi="Times New Roman" w:cs="Times New Roman"/>
          <w:sz w:val="24"/>
          <w:szCs w:val="24"/>
          <w:lang w:eastAsia="ru-RU"/>
        </w:rPr>
        <w:t>является  положительный итог естественного движения.</w:t>
      </w:r>
    </w:p>
    <w:p w:rsidR="00717824" w:rsidRPr="00906EA7" w:rsidRDefault="00717824"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Times New Roman" w:hAnsi="Times New Roman" w:cs="Times New Roman"/>
          <w:sz w:val="24"/>
          <w:szCs w:val="24"/>
          <w:lang w:eastAsia="ru-RU"/>
        </w:rPr>
        <w:t xml:space="preserve">Показатель </w:t>
      </w:r>
      <w:r w:rsidRPr="00906EA7">
        <w:rPr>
          <w:rFonts w:ascii="Times New Roman" w:hAnsi="Times New Roman" w:cs="Times New Roman"/>
          <w:sz w:val="24"/>
          <w:szCs w:val="24"/>
        </w:rPr>
        <w:t>постепенно сокращается, н</w:t>
      </w:r>
      <w:r w:rsidRPr="00906EA7">
        <w:rPr>
          <w:rFonts w:ascii="Times New Roman" w:eastAsia="Calibri Light" w:hAnsi="Times New Roman" w:cs="Times New Roman"/>
          <w:sz w:val="24"/>
          <w:szCs w:val="24"/>
        </w:rPr>
        <w:t>о, тем не менее, число рождений традиционно превышает число смертей в разы:</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за 2017 год 1,8 раза;</w:t>
      </w:r>
    </w:p>
    <w:p w:rsidR="00802B43"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за 2018 год</w:t>
      </w:r>
      <w:r w:rsidR="00802B43" w:rsidRPr="00906EA7">
        <w:rPr>
          <w:rFonts w:ascii="Times New Roman" w:eastAsia="Calibri Light" w:hAnsi="Times New Roman" w:cs="Times New Roman"/>
          <w:sz w:val="24"/>
          <w:szCs w:val="24"/>
        </w:rPr>
        <w:t xml:space="preserve"> 1,7 раза;</w:t>
      </w:r>
    </w:p>
    <w:p w:rsidR="00802B43" w:rsidRPr="00906EA7" w:rsidRDefault="00802B43"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за 2019 год </w:t>
      </w:r>
      <w:r w:rsidR="00B204B5" w:rsidRPr="00906EA7">
        <w:rPr>
          <w:rFonts w:ascii="Times New Roman" w:eastAsia="Calibri Light" w:hAnsi="Times New Roman" w:cs="Times New Roman"/>
          <w:sz w:val="24"/>
          <w:szCs w:val="24"/>
        </w:rPr>
        <w:t>1,7</w:t>
      </w:r>
      <w:r w:rsidRPr="00906EA7">
        <w:rPr>
          <w:rFonts w:ascii="Times New Roman" w:eastAsia="Calibri Light" w:hAnsi="Times New Roman" w:cs="Times New Roman"/>
          <w:sz w:val="24"/>
          <w:szCs w:val="24"/>
        </w:rPr>
        <w:t xml:space="preserve"> раза.</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Показатель </w:t>
      </w:r>
      <w:r w:rsidR="000E7847" w:rsidRPr="00906EA7">
        <w:rPr>
          <w:rFonts w:ascii="Times New Roman" w:eastAsia="Calibri Light" w:hAnsi="Times New Roman" w:cs="Times New Roman"/>
          <w:sz w:val="24"/>
          <w:szCs w:val="24"/>
        </w:rPr>
        <w:t xml:space="preserve">естественного движения </w:t>
      </w:r>
      <w:r w:rsidR="00BB579D" w:rsidRPr="00906EA7">
        <w:rPr>
          <w:rFonts w:ascii="Times New Roman" w:eastAsia="Calibri Light" w:hAnsi="Times New Roman" w:cs="Times New Roman"/>
          <w:sz w:val="24"/>
          <w:szCs w:val="24"/>
        </w:rPr>
        <w:t xml:space="preserve">за </w:t>
      </w:r>
      <w:r w:rsidRPr="00906EA7">
        <w:rPr>
          <w:rFonts w:ascii="Times New Roman" w:eastAsia="Calibri Light" w:hAnsi="Times New Roman" w:cs="Times New Roman"/>
          <w:sz w:val="24"/>
          <w:szCs w:val="24"/>
        </w:rPr>
        <w:t>201</w:t>
      </w:r>
      <w:r w:rsidR="00802B43" w:rsidRPr="00906EA7">
        <w:rPr>
          <w:rFonts w:ascii="Times New Roman" w:eastAsia="Calibri Light" w:hAnsi="Times New Roman" w:cs="Times New Roman"/>
          <w:sz w:val="24"/>
          <w:szCs w:val="24"/>
        </w:rPr>
        <w:t>9</w:t>
      </w:r>
      <w:r w:rsidR="00BB579D" w:rsidRPr="00906EA7">
        <w:rPr>
          <w:rFonts w:ascii="Times New Roman" w:eastAsia="Calibri Light" w:hAnsi="Times New Roman" w:cs="Times New Roman"/>
          <w:sz w:val="24"/>
          <w:szCs w:val="24"/>
        </w:rPr>
        <w:t xml:space="preserve"> год</w:t>
      </w:r>
      <w:r w:rsidRPr="00906EA7">
        <w:rPr>
          <w:rFonts w:ascii="Times New Roman" w:eastAsia="Calibri Light" w:hAnsi="Times New Roman" w:cs="Times New Roman"/>
          <w:sz w:val="24"/>
          <w:szCs w:val="24"/>
        </w:rPr>
        <w:t xml:space="preserve"> с</w:t>
      </w:r>
      <w:r w:rsidR="00157C0C" w:rsidRPr="00906EA7">
        <w:rPr>
          <w:rFonts w:ascii="Times New Roman" w:eastAsia="Calibri Light" w:hAnsi="Times New Roman" w:cs="Times New Roman"/>
          <w:sz w:val="24"/>
          <w:szCs w:val="24"/>
        </w:rPr>
        <w:t>ократил</w:t>
      </w:r>
      <w:r w:rsidRPr="00906EA7">
        <w:rPr>
          <w:rFonts w:ascii="Times New Roman" w:eastAsia="Calibri Light" w:hAnsi="Times New Roman" w:cs="Times New Roman"/>
          <w:sz w:val="24"/>
          <w:szCs w:val="24"/>
        </w:rPr>
        <w:t>ся в связи</w:t>
      </w:r>
      <w:r w:rsidR="00157C0C" w:rsidRPr="00906EA7">
        <w:rPr>
          <w:rFonts w:ascii="Times New Roman" w:eastAsia="Calibri Light" w:hAnsi="Times New Roman" w:cs="Times New Roman"/>
          <w:sz w:val="24"/>
          <w:szCs w:val="24"/>
        </w:rPr>
        <w:t xml:space="preserve"> со снижением рождаемости на </w:t>
      </w:r>
      <w:r w:rsidR="00332432" w:rsidRPr="00906EA7">
        <w:rPr>
          <w:rFonts w:ascii="Times New Roman" w:eastAsia="Calibri Light" w:hAnsi="Times New Roman" w:cs="Times New Roman"/>
          <w:sz w:val="24"/>
          <w:szCs w:val="24"/>
        </w:rPr>
        <w:t>10</w:t>
      </w:r>
      <w:r w:rsidR="00597171" w:rsidRPr="00906EA7">
        <w:rPr>
          <w:rFonts w:ascii="Times New Roman" w:eastAsia="Calibri Light" w:hAnsi="Times New Roman" w:cs="Times New Roman"/>
          <w:sz w:val="24"/>
          <w:szCs w:val="24"/>
        </w:rPr>
        <w:t xml:space="preserve">%. </w:t>
      </w:r>
      <w:r w:rsidR="00BB579D" w:rsidRPr="00906EA7">
        <w:rPr>
          <w:rFonts w:ascii="Times New Roman" w:eastAsia="Calibri Light" w:hAnsi="Times New Roman" w:cs="Times New Roman"/>
          <w:sz w:val="24"/>
          <w:szCs w:val="24"/>
        </w:rPr>
        <w:t>Соответственно, н</w:t>
      </w:r>
      <w:r w:rsidRPr="00906EA7">
        <w:rPr>
          <w:rFonts w:ascii="Times New Roman" w:eastAsia="Calibri Light" w:hAnsi="Times New Roman" w:cs="Times New Roman"/>
          <w:sz w:val="24"/>
          <w:szCs w:val="24"/>
        </w:rPr>
        <w:t xml:space="preserve">а </w:t>
      </w:r>
      <w:r w:rsidR="00597171" w:rsidRPr="00906EA7">
        <w:rPr>
          <w:rFonts w:ascii="Times New Roman" w:eastAsia="Calibri Light" w:hAnsi="Times New Roman" w:cs="Times New Roman"/>
          <w:sz w:val="24"/>
          <w:szCs w:val="24"/>
        </w:rPr>
        <w:t>1,1</w:t>
      </w:r>
      <w:r w:rsidR="001B79A9" w:rsidRPr="00906EA7">
        <w:rPr>
          <w:rFonts w:ascii="Times New Roman" w:eastAsia="Calibri Light" w:hAnsi="Times New Roman" w:cs="Times New Roman"/>
          <w:sz w:val="24"/>
          <w:szCs w:val="24"/>
        </w:rPr>
        <w:t>2</w:t>
      </w:r>
      <w:r w:rsidR="00064195" w:rsidRPr="00906EA7">
        <w:rPr>
          <w:rFonts w:ascii="Times New Roman" w:eastAsia="Calibri Light" w:hAnsi="Times New Roman" w:cs="Times New Roman"/>
          <w:sz w:val="24"/>
          <w:szCs w:val="24"/>
        </w:rPr>
        <w:t xml:space="preserve"> </w:t>
      </w:r>
      <w:r w:rsidRPr="00906EA7">
        <w:rPr>
          <w:rFonts w:ascii="Times New Roman" w:eastAsia="Calibri Light" w:hAnsi="Times New Roman" w:cs="Times New Roman"/>
          <w:sz w:val="24"/>
          <w:szCs w:val="24"/>
        </w:rPr>
        <w:t>промилле сократился коэффициент рождаемости</w:t>
      </w:r>
      <w:r w:rsidR="00BB579D" w:rsidRPr="00906EA7">
        <w:rPr>
          <w:rFonts w:ascii="Times New Roman" w:eastAsia="Calibri Light" w:hAnsi="Times New Roman" w:cs="Times New Roman"/>
          <w:sz w:val="24"/>
          <w:szCs w:val="24"/>
        </w:rPr>
        <w:t>. Положительным фактом является снижение коэффициента смертности</w:t>
      </w:r>
      <w:r w:rsidRPr="00906EA7">
        <w:rPr>
          <w:rFonts w:ascii="Times New Roman" w:eastAsia="Calibri Light" w:hAnsi="Times New Roman" w:cs="Times New Roman"/>
          <w:sz w:val="24"/>
          <w:szCs w:val="24"/>
        </w:rPr>
        <w:t xml:space="preserve"> на 0,</w:t>
      </w:r>
      <w:r w:rsidR="00597171" w:rsidRPr="00906EA7">
        <w:rPr>
          <w:rFonts w:ascii="Times New Roman" w:eastAsia="Calibri Light" w:hAnsi="Times New Roman" w:cs="Times New Roman"/>
          <w:sz w:val="24"/>
          <w:szCs w:val="24"/>
        </w:rPr>
        <w:t>7</w:t>
      </w:r>
      <w:r w:rsidR="00157C0C" w:rsidRPr="00906EA7">
        <w:rPr>
          <w:rFonts w:ascii="Times New Roman" w:eastAsia="Calibri Light" w:hAnsi="Times New Roman" w:cs="Times New Roman"/>
          <w:sz w:val="24"/>
          <w:szCs w:val="24"/>
        </w:rPr>
        <w:t xml:space="preserve"> </w:t>
      </w:r>
      <w:r w:rsidRPr="00906EA7">
        <w:rPr>
          <w:rFonts w:ascii="Times New Roman" w:eastAsia="Calibri Light" w:hAnsi="Times New Roman" w:cs="Times New Roman"/>
          <w:sz w:val="24"/>
          <w:szCs w:val="24"/>
        </w:rPr>
        <w:t xml:space="preserve">промилле. </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Коэффициент итога естественного движ</w:t>
      </w:r>
      <w:r w:rsidR="00064195" w:rsidRPr="00906EA7">
        <w:rPr>
          <w:rFonts w:ascii="Times New Roman" w:eastAsia="Times New Roman" w:hAnsi="Times New Roman" w:cs="Times New Roman"/>
          <w:sz w:val="24"/>
          <w:szCs w:val="24"/>
          <w:lang w:eastAsia="ru-RU"/>
        </w:rPr>
        <w:t xml:space="preserve">ения населения сократился с </w:t>
      </w:r>
      <w:r w:rsidR="00F90962" w:rsidRPr="00906EA7">
        <w:rPr>
          <w:rFonts w:ascii="Times New Roman" w:eastAsia="Times New Roman" w:hAnsi="Times New Roman" w:cs="Times New Roman"/>
          <w:sz w:val="24"/>
          <w:szCs w:val="24"/>
          <w:lang w:eastAsia="ru-RU"/>
        </w:rPr>
        <w:t>4,9</w:t>
      </w:r>
      <w:r w:rsidR="001B79A9" w:rsidRPr="00906EA7">
        <w:rPr>
          <w:rFonts w:ascii="Times New Roman" w:eastAsia="Times New Roman" w:hAnsi="Times New Roman" w:cs="Times New Roman"/>
          <w:sz w:val="24"/>
          <w:szCs w:val="24"/>
          <w:lang w:eastAsia="ru-RU"/>
        </w:rPr>
        <w:t>2</w:t>
      </w:r>
      <w:r w:rsidR="00064195"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за 201</w:t>
      </w:r>
      <w:r w:rsidR="00F90962"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 до 4,</w:t>
      </w:r>
      <w:r w:rsidR="00F90962" w:rsidRPr="00906EA7">
        <w:rPr>
          <w:rFonts w:ascii="Times New Roman" w:eastAsia="Times New Roman" w:hAnsi="Times New Roman" w:cs="Times New Roman"/>
          <w:sz w:val="24"/>
          <w:szCs w:val="24"/>
          <w:lang w:eastAsia="ru-RU"/>
        </w:rPr>
        <w:t>5</w:t>
      </w:r>
      <w:r w:rsidRPr="00906EA7">
        <w:rPr>
          <w:rFonts w:ascii="Times New Roman" w:eastAsia="Times New Roman" w:hAnsi="Times New Roman" w:cs="Times New Roman"/>
          <w:sz w:val="24"/>
          <w:szCs w:val="24"/>
          <w:lang w:eastAsia="ru-RU"/>
        </w:rPr>
        <w:t xml:space="preserve"> человек на 1000 населения. </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Times New Roman" w:hAnsi="Times New Roman" w:cs="Times New Roman"/>
          <w:sz w:val="24"/>
          <w:szCs w:val="24"/>
          <w:lang w:eastAsia="ru-RU"/>
        </w:rPr>
        <w:t>Объем естественного прироста населения за 201</w:t>
      </w:r>
      <w:r w:rsidR="00F90962"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составил </w:t>
      </w:r>
      <w:r w:rsidR="00E8704A" w:rsidRPr="00906EA7">
        <w:rPr>
          <w:rFonts w:ascii="Times New Roman" w:eastAsia="Calibri Light" w:hAnsi="Times New Roman" w:cs="Times New Roman"/>
          <w:sz w:val="24"/>
          <w:szCs w:val="24"/>
        </w:rPr>
        <w:t xml:space="preserve">лишь </w:t>
      </w:r>
      <w:r w:rsidR="00F90962" w:rsidRPr="00906EA7">
        <w:rPr>
          <w:rFonts w:ascii="Times New Roman" w:eastAsia="Calibri Light" w:hAnsi="Times New Roman" w:cs="Times New Roman"/>
          <w:sz w:val="24"/>
          <w:szCs w:val="24"/>
        </w:rPr>
        <w:t>90,7</w:t>
      </w:r>
      <w:r w:rsidRPr="00906EA7">
        <w:rPr>
          <w:rFonts w:ascii="Times New Roman" w:eastAsia="Calibri Light" w:hAnsi="Times New Roman" w:cs="Times New Roman"/>
          <w:sz w:val="24"/>
          <w:szCs w:val="24"/>
        </w:rPr>
        <w:t xml:space="preserve">% от </w:t>
      </w:r>
      <w:r w:rsidR="006C207F" w:rsidRPr="00906EA7">
        <w:rPr>
          <w:rFonts w:ascii="Times New Roman" w:eastAsia="Calibri Light" w:hAnsi="Times New Roman" w:cs="Times New Roman"/>
          <w:sz w:val="24"/>
          <w:szCs w:val="24"/>
        </w:rPr>
        <w:t>значения</w:t>
      </w:r>
      <w:r w:rsidRPr="00906EA7">
        <w:rPr>
          <w:rFonts w:ascii="Times New Roman" w:eastAsia="Calibri Light" w:hAnsi="Times New Roman" w:cs="Times New Roman"/>
          <w:sz w:val="24"/>
          <w:szCs w:val="24"/>
        </w:rPr>
        <w:t xml:space="preserve"> показателя 201</w:t>
      </w:r>
      <w:r w:rsidR="00F90962" w:rsidRPr="00906EA7">
        <w:rPr>
          <w:rFonts w:ascii="Times New Roman" w:eastAsia="Calibri Light" w:hAnsi="Times New Roman" w:cs="Times New Roman"/>
          <w:sz w:val="24"/>
          <w:szCs w:val="24"/>
        </w:rPr>
        <w:t>8</w:t>
      </w:r>
      <w:r w:rsidRPr="00906EA7">
        <w:rPr>
          <w:rFonts w:ascii="Times New Roman" w:eastAsia="Calibri Light" w:hAnsi="Times New Roman" w:cs="Times New Roman"/>
          <w:sz w:val="24"/>
          <w:szCs w:val="24"/>
        </w:rPr>
        <w:t xml:space="preserve"> года.</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 xml:space="preserve">Анализ половозрастной структуры населения свидетельствует об отрицательной динамике, когда наметилась тенденция снижения численности населения в трудоспособном возрасте на фоне </w:t>
      </w:r>
      <w:r w:rsidR="00F8772F" w:rsidRPr="00906EA7">
        <w:rPr>
          <w:rFonts w:ascii="Times New Roman" w:eastAsia="Times New Roman" w:hAnsi="Times New Roman" w:cs="Times New Roman"/>
          <w:sz w:val="24"/>
          <w:szCs w:val="24"/>
          <w:lang w:eastAsia="ru-RU"/>
        </w:rPr>
        <w:t>значительного</w:t>
      </w:r>
      <w:r w:rsidRPr="00906EA7">
        <w:rPr>
          <w:rFonts w:ascii="Times New Roman" w:eastAsia="Times New Roman" w:hAnsi="Times New Roman" w:cs="Times New Roman"/>
          <w:sz w:val="24"/>
          <w:szCs w:val="24"/>
          <w:lang w:eastAsia="ru-RU"/>
        </w:rPr>
        <w:t xml:space="preserve"> роста численности лиц старше трудоспособного возраста</w:t>
      </w:r>
      <w:r w:rsidR="00F8772F" w:rsidRPr="00906EA7">
        <w:rPr>
          <w:rFonts w:ascii="Times New Roman" w:eastAsia="Times New Roman" w:hAnsi="Times New Roman" w:cs="Times New Roman"/>
          <w:sz w:val="24"/>
          <w:szCs w:val="24"/>
          <w:lang w:eastAsia="ru-RU"/>
        </w:rPr>
        <w:t xml:space="preserve"> и сохранении практически на одном уровне численности детского населения</w:t>
      </w:r>
      <w:r w:rsidRPr="00906EA7">
        <w:rPr>
          <w:rFonts w:ascii="Times New Roman" w:eastAsia="Times New Roman" w:hAnsi="Times New Roman" w:cs="Times New Roman"/>
          <w:sz w:val="24"/>
          <w:szCs w:val="24"/>
          <w:lang w:eastAsia="ru-RU"/>
        </w:rPr>
        <w:t>.</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Так за 201</w:t>
      </w:r>
      <w:r w:rsidR="00625180"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w:t>
      </w:r>
      <w:r w:rsidR="002B7111" w:rsidRPr="00906EA7">
        <w:rPr>
          <w:rFonts w:ascii="Times New Roman" w:eastAsia="Times New Roman" w:hAnsi="Times New Roman" w:cs="Times New Roman"/>
          <w:sz w:val="24"/>
          <w:szCs w:val="24"/>
          <w:lang w:eastAsia="ru-RU"/>
        </w:rPr>
        <w:t>, по отношению к 201</w:t>
      </w:r>
      <w:r w:rsidR="00625180" w:rsidRPr="00906EA7">
        <w:rPr>
          <w:rFonts w:ascii="Times New Roman" w:eastAsia="Times New Roman" w:hAnsi="Times New Roman" w:cs="Times New Roman"/>
          <w:sz w:val="24"/>
          <w:szCs w:val="24"/>
          <w:lang w:eastAsia="ru-RU"/>
        </w:rPr>
        <w:t>8</w:t>
      </w:r>
      <w:r w:rsidR="002B7111" w:rsidRPr="00906EA7">
        <w:rPr>
          <w:rFonts w:ascii="Times New Roman" w:eastAsia="Times New Roman" w:hAnsi="Times New Roman" w:cs="Times New Roman"/>
          <w:sz w:val="24"/>
          <w:szCs w:val="24"/>
          <w:lang w:eastAsia="ru-RU"/>
        </w:rPr>
        <w:t xml:space="preserve"> году,</w:t>
      </w:r>
      <w:r w:rsidRPr="00906EA7">
        <w:rPr>
          <w:rFonts w:ascii="Times New Roman" w:eastAsia="Times New Roman" w:hAnsi="Times New Roman" w:cs="Times New Roman"/>
          <w:sz w:val="24"/>
          <w:szCs w:val="24"/>
          <w:lang w:eastAsia="ru-RU"/>
        </w:rPr>
        <w:t xml:space="preserve"> численность </w:t>
      </w:r>
      <w:r w:rsidR="00F8772F" w:rsidRPr="00906EA7">
        <w:rPr>
          <w:rFonts w:ascii="Times New Roman" w:eastAsia="Times New Roman" w:hAnsi="Times New Roman" w:cs="Times New Roman"/>
          <w:sz w:val="24"/>
          <w:szCs w:val="24"/>
          <w:lang w:eastAsia="ru-RU"/>
        </w:rPr>
        <w:t xml:space="preserve">населения </w:t>
      </w:r>
      <w:r w:rsidRPr="00906EA7">
        <w:rPr>
          <w:rFonts w:ascii="Times New Roman" w:eastAsia="Times New Roman" w:hAnsi="Times New Roman" w:cs="Times New Roman"/>
          <w:sz w:val="24"/>
          <w:szCs w:val="24"/>
          <w:lang w:eastAsia="ru-RU"/>
        </w:rPr>
        <w:t xml:space="preserve">трудоспособного возраста </w:t>
      </w:r>
      <w:r w:rsidR="00F8772F" w:rsidRPr="00906EA7">
        <w:rPr>
          <w:rFonts w:ascii="Times New Roman" w:eastAsia="Times New Roman" w:hAnsi="Times New Roman" w:cs="Times New Roman"/>
          <w:sz w:val="24"/>
          <w:szCs w:val="24"/>
          <w:lang w:eastAsia="ru-RU"/>
        </w:rPr>
        <w:t xml:space="preserve">снизилась на </w:t>
      </w:r>
      <w:r w:rsidR="00625180" w:rsidRPr="00906EA7">
        <w:rPr>
          <w:rFonts w:ascii="Times New Roman" w:eastAsia="Times New Roman" w:hAnsi="Times New Roman" w:cs="Times New Roman"/>
          <w:sz w:val="24"/>
          <w:szCs w:val="24"/>
          <w:lang w:eastAsia="ru-RU"/>
        </w:rPr>
        <w:t>2,4</w:t>
      </w:r>
      <w:r w:rsidR="00F8772F" w:rsidRPr="00906EA7">
        <w:rPr>
          <w:rFonts w:ascii="Times New Roman" w:eastAsia="Times New Roman" w:hAnsi="Times New Roman" w:cs="Times New Roman"/>
          <w:sz w:val="24"/>
          <w:szCs w:val="24"/>
          <w:lang w:eastAsia="ru-RU"/>
        </w:rPr>
        <w:t xml:space="preserve"> процентны</w:t>
      </w:r>
      <w:r w:rsidR="00625180" w:rsidRPr="00906EA7">
        <w:rPr>
          <w:rFonts w:ascii="Times New Roman" w:eastAsia="Times New Roman" w:hAnsi="Times New Roman" w:cs="Times New Roman"/>
          <w:sz w:val="24"/>
          <w:szCs w:val="24"/>
          <w:lang w:eastAsia="ru-RU"/>
        </w:rPr>
        <w:t>х</w:t>
      </w:r>
      <w:r w:rsidR="00F8772F" w:rsidRPr="00906EA7">
        <w:rPr>
          <w:rFonts w:ascii="Times New Roman" w:eastAsia="Times New Roman" w:hAnsi="Times New Roman" w:cs="Times New Roman"/>
          <w:sz w:val="24"/>
          <w:szCs w:val="24"/>
          <w:lang w:eastAsia="ru-RU"/>
        </w:rPr>
        <w:t xml:space="preserve"> пункт</w:t>
      </w:r>
      <w:r w:rsidR="00625180" w:rsidRPr="00906EA7">
        <w:rPr>
          <w:rFonts w:ascii="Times New Roman" w:eastAsia="Times New Roman" w:hAnsi="Times New Roman" w:cs="Times New Roman"/>
          <w:sz w:val="24"/>
          <w:szCs w:val="24"/>
          <w:lang w:eastAsia="ru-RU"/>
        </w:rPr>
        <w:t>а</w:t>
      </w:r>
      <w:r w:rsidR="00563D93" w:rsidRPr="00906EA7">
        <w:rPr>
          <w:rFonts w:ascii="Times New Roman" w:eastAsia="Times New Roman" w:hAnsi="Times New Roman" w:cs="Times New Roman"/>
          <w:sz w:val="24"/>
          <w:szCs w:val="24"/>
          <w:lang w:eastAsia="ru-RU"/>
        </w:rPr>
        <w:t xml:space="preserve"> на фоне роста ч</w:t>
      </w:r>
      <w:r w:rsidRPr="00906EA7">
        <w:rPr>
          <w:rFonts w:ascii="Times New Roman" w:eastAsia="Times New Roman" w:hAnsi="Times New Roman" w:cs="Times New Roman"/>
          <w:sz w:val="24"/>
          <w:szCs w:val="24"/>
          <w:lang w:eastAsia="ru-RU"/>
        </w:rPr>
        <w:t>исленност</w:t>
      </w:r>
      <w:r w:rsidR="00563D93" w:rsidRPr="00906EA7">
        <w:rPr>
          <w:rFonts w:ascii="Times New Roman" w:eastAsia="Times New Roman" w:hAnsi="Times New Roman" w:cs="Times New Roman"/>
          <w:sz w:val="24"/>
          <w:szCs w:val="24"/>
          <w:lang w:eastAsia="ru-RU"/>
        </w:rPr>
        <w:t>и</w:t>
      </w:r>
      <w:r w:rsidRPr="00906EA7">
        <w:rPr>
          <w:rFonts w:ascii="Times New Roman" w:eastAsia="Times New Roman" w:hAnsi="Times New Roman" w:cs="Times New Roman"/>
          <w:sz w:val="24"/>
          <w:szCs w:val="24"/>
          <w:lang w:eastAsia="ru-RU"/>
        </w:rPr>
        <w:t xml:space="preserve"> жителей старше трудоспособного возраста (</w:t>
      </w:r>
      <w:r w:rsidR="00563D93" w:rsidRPr="00906EA7">
        <w:rPr>
          <w:rFonts w:ascii="Times New Roman" w:eastAsia="Times New Roman" w:hAnsi="Times New Roman" w:cs="Times New Roman"/>
          <w:sz w:val="24"/>
          <w:szCs w:val="24"/>
          <w:lang w:eastAsia="ru-RU"/>
        </w:rPr>
        <w:t>пенсионеров по старости)</w:t>
      </w:r>
      <w:r w:rsidRPr="00906EA7">
        <w:rPr>
          <w:rFonts w:ascii="Times New Roman" w:eastAsia="Times New Roman" w:hAnsi="Times New Roman" w:cs="Times New Roman"/>
          <w:sz w:val="24"/>
          <w:szCs w:val="24"/>
          <w:lang w:eastAsia="ru-RU"/>
        </w:rPr>
        <w:t xml:space="preserve"> на </w:t>
      </w:r>
      <w:r w:rsidR="00625180" w:rsidRPr="00906EA7">
        <w:rPr>
          <w:rFonts w:ascii="Times New Roman" w:eastAsia="Times New Roman" w:hAnsi="Times New Roman" w:cs="Times New Roman"/>
          <w:sz w:val="24"/>
          <w:szCs w:val="24"/>
          <w:lang w:eastAsia="ru-RU"/>
        </w:rPr>
        <w:t>5</w:t>
      </w:r>
      <w:r w:rsidR="00563D93" w:rsidRPr="00906EA7">
        <w:rPr>
          <w:rFonts w:ascii="Times New Roman" w:eastAsia="Times New Roman" w:hAnsi="Times New Roman" w:cs="Times New Roman"/>
          <w:sz w:val="24"/>
          <w:szCs w:val="24"/>
          <w:lang w:eastAsia="ru-RU"/>
        </w:rPr>
        <w:t xml:space="preserve"> процентны</w:t>
      </w:r>
      <w:r w:rsidR="00625180" w:rsidRPr="00906EA7">
        <w:rPr>
          <w:rFonts w:ascii="Times New Roman" w:eastAsia="Times New Roman" w:hAnsi="Times New Roman" w:cs="Times New Roman"/>
          <w:sz w:val="24"/>
          <w:szCs w:val="24"/>
          <w:lang w:eastAsia="ru-RU"/>
        </w:rPr>
        <w:t>х</w:t>
      </w:r>
      <w:r w:rsidR="00563D93" w:rsidRPr="00906EA7">
        <w:rPr>
          <w:rFonts w:ascii="Times New Roman" w:eastAsia="Times New Roman" w:hAnsi="Times New Roman" w:cs="Times New Roman"/>
          <w:sz w:val="24"/>
          <w:szCs w:val="24"/>
          <w:lang w:eastAsia="ru-RU"/>
        </w:rPr>
        <w:t xml:space="preserve"> пункт</w:t>
      </w:r>
      <w:r w:rsidR="00625180" w:rsidRPr="00906EA7">
        <w:rPr>
          <w:rFonts w:ascii="Times New Roman" w:eastAsia="Times New Roman" w:hAnsi="Times New Roman" w:cs="Times New Roman"/>
          <w:sz w:val="24"/>
          <w:szCs w:val="24"/>
          <w:lang w:eastAsia="ru-RU"/>
        </w:rPr>
        <w:t>ов</w:t>
      </w:r>
      <w:r w:rsidRPr="00906EA7">
        <w:rPr>
          <w:rFonts w:ascii="Times New Roman" w:eastAsia="Times New Roman" w:hAnsi="Times New Roman" w:cs="Times New Roman"/>
          <w:sz w:val="24"/>
          <w:szCs w:val="24"/>
          <w:lang w:eastAsia="ru-RU"/>
        </w:rPr>
        <w:t>.</w:t>
      </w:r>
    </w:p>
    <w:p w:rsidR="00717824" w:rsidRPr="00906EA7" w:rsidRDefault="00563D93"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lang w:eastAsia="ru-RU"/>
        </w:rPr>
        <w:t>Рост</w:t>
      </w:r>
      <w:r w:rsidR="00717824" w:rsidRPr="00906EA7">
        <w:rPr>
          <w:rFonts w:ascii="Times New Roman" w:hAnsi="Times New Roman" w:cs="Times New Roman"/>
          <w:sz w:val="24"/>
          <w:szCs w:val="24"/>
          <w:lang w:eastAsia="ru-RU"/>
        </w:rPr>
        <w:t xml:space="preserve"> численности населения старше трудоспособного возраста увеличива</w:t>
      </w:r>
      <w:r w:rsidRPr="00906EA7">
        <w:rPr>
          <w:rFonts w:ascii="Times New Roman" w:hAnsi="Times New Roman" w:cs="Times New Roman"/>
          <w:sz w:val="24"/>
          <w:szCs w:val="24"/>
          <w:lang w:eastAsia="ru-RU"/>
        </w:rPr>
        <w:t>е</w:t>
      </w:r>
      <w:r w:rsidR="00717824" w:rsidRPr="00906EA7">
        <w:rPr>
          <w:rFonts w:ascii="Times New Roman" w:hAnsi="Times New Roman" w:cs="Times New Roman"/>
          <w:sz w:val="24"/>
          <w:szCs w:val="24"/>
          <w:lang w:eastAsia="ru-RU"/>
        </w:rPr>
        <w:t xml:space="preserve">т отрицательную демографическую нагрузку </w:t>
      </w:r>
      <w:r w:rsidR="00717824" w:rsidRPr="00906EA7">
        <w:rPr>
          <w:rFonts w:ascii="Times New Roman" w:eastAsia="Times New Roman" w:hAnsi="Times New Roman" w:cs="Times New Roman"/>
          <w:sz w:val="24"/>
          <w:szCs w:val="24"/>
          <w:lang w:eastAsia="ru-RU"/>
        </w:rPr>
        <w:t>трудоспособного населения</w:t>
      </w:r>
      <w:r w:rsidRPr="00906EA7">
        <w:rPr>
          <w:rFonts w:ascii="Times New Roman" w:eastAsia="Times New Roman" w:hAnsi="Times New Roman" w:cs="Times New Roman"/>
          <w:sz w:val="24"/>
          <w:szCs w:val="24"/>
          <w:lang w:eastAsia="ru-RU"/>
        </w:rPr>
        <w:t>.</w:t>
      </w:r>
      <w:r w:rsidR="00717824" w:rsidRPr="00906EA7">
        <w:rPr>
          <w:rFonts w:ascii="Times New Roman" w:eastAsia="Times New Roman" w:hAnsi="Times New Roman" w:cs="Times New Roman"/>
          <w:sz w:val="24"/>
          <w:szCs w:val="24"/>
          <w:lang w:eastAsia="ru-RU"/>
        </w:rPr>
        <w:t xml:space="preserve"> Показатель постоянно увеличивается, но более</w:t>
      </w:r>
      <w:r w:rsidRPr="00906EA7">
        <w:rPr>
          <w:rFonts w:ascii="Times New Roman" w:eastAsia="Times New Roman" w:hAnsi="Times New Roman" w:cs="Times New Roman"/>
          <w:sz w:val="24"/>
          <w:szCs w:val="24"/>
          <w:lang w:eastAsia="ru-RU"/>
        </w:rPr>
        <w:t xml:space="preserve"> интенсивно прирастает нагрузка </w:t>
      </w:r>
      <w:r w:rsidR="00717824" w:rsidRPr="00906EA7">
        <w:rPr>
          <w:rFonts w:ascii="Times New Roman" w:eastAsia="Times New Roman" w:hAnsi="Times New Roman" w:cs="Times New Roman"/>
          <w:sz w:val="24"/>
          <w:szCs w:val="24"/>
          <w:lang w:eastAsia="ru-RU"/>
        </w:rPr>
        <w:t>людьми старшего поколения по причине увеличения их численности, прирост показателя 201</w:t>
      </w:r>
      <w:r w:rsidR="00625180" w:rsidRPr="00906EA7">
        <w:rPr>
          <w:rFonts w:ascii="Times New Roman" w:eastAsia="Times New Roman" w:hAnsi="Times New Roman" w:cs="Times New Roman"/>
          <w:sz w:val="24"/>
          <w:szCs w:val="24"/>
          <w:lang w:eastAsia="ru-RU"/>
        </w:rPr>
        <w:t>9</w:t>
      </w:r>
      <w:r w:rsidR="00717824" w:rsidRPr="00906EA7">
        <w:rPr>
          <w:rFonts w:ascii="Times New Roman" w:eastAsia="Times New Roman" w:hAnsi="Times New Roman" w:cs="Times New Roman"/>
          <w:sz w:val="24"/>
          <w:szCs w:val="24"/>
          <w:lang w:eastAsia="ru-RU"/>
        </w:rPr>
        <w:t xml:space="preserve"> год</w:t>
      </w:r>
      <w:r w:rsidR="002B7111" w:rsidRPr="00906EA7">
        <w:rPr>
          <w:rFonts w:ascii="Times New Roman" w:eastAsia="Times New Roman" w:hAnsi="Times New Roman" w:cs="Times New Roman"/>
          <w:sz w:val="24"/>
          <w:szCs w:val="24"/>
          <w:lang w:eastAsia="ru-RU"/>
        </w:rPr>
        <w:t>а к 201</w:t>
      </w:r>
      <w:r w:rsidR="00625180" w:rsidRPr="00906EA7">
        <w:rPr>
          <w:rFonts w:ascii="Times New Roman" w:eastAsia="Times New Roman" w:hAnsi="Times New Roman" w:cs="Times New Roman"/>
          <w:sz w:val="24"/>
          <w:szCs w:val="24"/>
          <w:lang w:eastAsia="ru-RU"/>
        </w:rPr>
        <w:t>8</w:t>
      </w:r>
      <w:r w:rsidR="002B7111" w:rsidRPr="00906EA7">
        <w:rPr>
          <w:rFonts w:ascii="Times New Roman" w:eastAsia="Times New Roman" w:hAnsi="Times New Roman" w:cs="Times New Roman"/>
          <w:sz w:val="24"/>
          <w:szCs w:val="24"/>
          <w:lang w:eastAsia="ru-RU"/>
        </w:rPr>
        <w:t xml:space="preserve"> году  составляет </w:t>
      </w:r>
      <w:r w:rsidR="00625180" w:rsidRPr="00906EA7">
        <w:rPr>
          <w:rFonts w:ascii="Times New Roman" w:eastAsia="Times New Roman" w:hAnsi="Times New Roman" w:cs="Times New Roman"/>
          <w:sz w:val="24"/>
          <w:szCs w:val="24"/>
          <w:lang w:eastAsia="ru-RU"/>
        </w:rPr>
        <w:t>7</w:t>
      </w:r>
      <w:r w:rsidR="002B7111" w:rsidRPr="00906EA7">
        <w:rPr>
          <w:rFonts w:ascii="Times New Roman" w:eastAsia="Times New Roman" w:hAnsi="Times New Roman" w:cs="Times New Roman"/>
          <w:sz w:val="24"/>
          <w:szCs w:val="24"/>
          <w:lang w:eastAsia="ru-RU"/>
        </w:rPr>
        <w:t>,</w:t>
      </w:r>
      <w:r w:rsidR="00625180" w:rsidRPr="00906EA7">
        <w:rPr>
          <w:rFonts w:ascii="Times New Roman" w:eastAsia="Times New Roman" w:hAnsi="Times New Roman" w:cs="Times New Roman"/>
          <w:sz w:val="24"/>
          <w:szCs w:val="24"/>
          <w:lang w:eastAsia="ru-RU"/>
        </w:rPr>
        <w:t>8</w:t>
      </w:r>
      <w:r w:rsidR="002B7111" w:rsidRPr="00906EA7">
        <w:rPr>
          <w:rFonts w:ascii="Times New Roman" w:eastAsia="Times New Roman" w:hAnsi="Times New Roman" w:cs="Times New Roman"/>
          <w:sz w:val="24"/>
          <w:szCs w:val="24"/>
          <w:lang w:eastAsia="ru-RU"/>
        </w:rPr>
        <w:t>%.</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Данны</w:t>
      </w:r>
      <w:r w:rsidR="006C207F" w:rsidRPr="00906EA7">
        <w:rPr>
          <w:rFonts w:ascii="Times New Roman" w:eastAsia="Times New Roman" w:hAnsi="Times New Roman" w:cs="Times New Roman"/>
          <w:sz w:val="24"/>
          <w:szCs w:val="24"/>
          <w:lang w:eastAsia="ru-RU"/>
        </w:rPr>
        <w:t>й</w:t>
      </w:r>
      <w:r w:rsidRPr="00906EA7">
        <w:rPr>
          <w:rFonts w:ascii="Times New Roman" w:eastAsia="Times New Roman" w:hAnsi="Times New Roman" w:cs="Times New Roman"/>
          <w:sz w:val="24"/>
          <w:szCs w:val="24"/>
          <w:lang w:eastAsia="ru-RU"/>
        </w:rPr>
        <w:t xml:space="preserve"> показател</w:t>
      </w:r>
      <w:r w:rsidR="006C207F" w:rsidRPr="00906EA7">
        <w:rPr>
          <w:rFonts w:ascii="Times New Roman" w:eastAsia="Times New Roman" w:hAnsi="Times New Roman" w:cs="Times New Roman"/>
          <w:sz w:val="24"/>
          <w:szCs w:val="24"/>
          <w:lang w:eastAsia="ru-RU"/>
        </w:rPr>
        <w:t>ь</w:t>
      </w:r>
      <w:r w:rsidRPr="00906EA7">
        <w:rPr>
          <w:rFonts w:ascii="Times New Roman" w:eastAsia="Times New Roman" w:hAnsi="Times New Roman" w:cs="Times New Roman"/>
          <w:sz w:val="24"/>
          <w:szCs w:val="24"/>
          <w:lang w:eastAsia="ru-RU"/>
        </w:rPr>
        <w:t xml:space="preserve"> по детскому населению составля</w:t>
      </w:r>
      <w:r w:rsidR="006C207F" w:rsidRPr="00906EA7">
        <w:rPr>
          <w:rFonts w:ascii="Times New Roman" w:eastAsia="Times New Roman" w:hAnsi="Times New Roman" w:cs="Times New Roman"/>
          <w:sz w:val="24"/>
          <w:szCs w:val="24"/>
          <w:lang w:eastAsia="ru-RU"/>
        </w:rPr>
        <w:t>е</w:t>
      </w:r>
      <w:r w:rsidRPr="00906EA7">
        <w:rPr>
          <w:rFonts w:ascii="Times New Roman" w:eastAsia="Times New Roman" w:hAnsi="Times New Roman" w:cs="Times New Roman"/>
          <w:sz w:val="24"/>
          <w:szCs w:val="24"/>
          <w:lang w:eastAsia="ru-RU"/>
        </w:rPr>
        <w:t xml:space="preserve">т </w:t>
      </w:r>
      <w:r w:rsidR="00563D93" w:rsidRPr="00906EA7">
        <w:rPr>
          <w:rFonts w:ascii="Times New Roman" w:eastAsia="Times New Roman" w:hAnsi="Times New Roman" w:cs="Times New Roman"/>
          <w:sz w:val="24"/>
          <w:szCs w:val="24"/>
          <w:lang w:eastAsia="ru-RU"/>
        </w:rPr>
        <w:t>1,</w:t>
      </w:r>
      <w:r w:rsidR="00625180" w:rsidRPr="00906EA7">
        <w:rPr>
          <w:rFonts w:ascii="Times New Roman" w:eastAsia="Times New Roman" w:hAnsi="Times New Roman" w:cs="Times New Roman"/>
          <w:sz w:val="24"/>
          <w:szCs w:val="24"/>
          <w:lang w:eastAsia="ru-RU"/>
        </w:rPr>
        <w:t>4</w:t>
      </w:r>
      <w:r w:rsidR="00563D93"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w:t>
      </w:r>
    </w:p>
    <w:p w:rsidR="00717824" w:rsidRPr="00906EA7" w:rsidRDefault="009C37BD"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w:t>
      </w:r>
      <w:r w:rsidR="00717824" w:rsidRPr="00906EA7">
        <w:rPr>
          <w:rFonts w:ascii="Times New Roman" w:eastAsia="Times New Roman" w:hAnsi="Times New Roman" w:cs="Times New Roman"/>
          <w:sz w:val="24"/>
          <w:szCs w:val="24"/>
          <w:lang w:eastAsia="ru-RU"/>
        </w:rPr>
        <w:t>оотношение числе</w:t>
      </w:r>
      <w:r w:rsidR="00626BDA" w:rsidRPr="00906EA7">
        <w:rPr>
          <w:rFonts w:ascii="Times New Roman" w:eastAsia="Times New Roman" w:hAnsi="Times New Roman" w:cs="Times New Roman"/>
          <w:sz w:val="24"/>
          <w:szCs w:val="24"/>
          <w:lang w:eastAsia="ru-RU"/>
        </w:rPr>
        <w:t>нности насел</w:t>
      </w:r>
      <w:r w:rsidR="00717824" w:rsidRPr="00906EA7">
        <w:rPr>
          <w:rFonts w:ascii="Times New Roman" w:eastAsia="Times New Roman" w:hAnsi="Times New Roman" w:cs="Times New Roman"/>
          <w:sz w:val="24"/>
          <w:szCs w:val="24"/>
          <w:lang w:eastAsia="ru-RU"/>
        </w:rPr>
        <w:t>ения по половому признаку</w:t>
      </w:r>
      <w:r w:rsidRPr="00906EA7">
        <w:rPr>
          <w:rFonts w:ascii="Times New Roman" w:eastAsia="Times New Roman" w:hAnsi="Times New Roman" w:cs="Times New Roman"/>
          <w:sz w:val="24"/>
          <w:szCs w:val="24"/>
          <w:lang w:eastAsia="ru-RU"/>
        </w:rPr>
        <w:t xml:space="preserve"> в сравнении с показателями 2018 года осталось</w:t>
      </w:r>
      <w:r w:rsidR="006B532D" w:rsidRPr="00906EA7">
        <w:rPr>
          <w:rFonts w:ascii="Times New Roman" w:eastAsia="Times New Roman" w:hAnsi="Times New Roman" w:cs="Times New Roman"/>
          <w:sz w:val="24"/>
          <w:szCs w:val="24"/>
          <w:lang w:eastAsia="ru-RU"/>
        </w:rPr>
        <w:t xml:space="preserve"> практически</w:t>
      </w:r>
      <w:r w:rsidRPr="00906EA7">
        <w:rPr>
          <w:rFonts w:ascii="Times New Roman" w:eastAsia="Times New Roman" w:hAnsi="Times New Roman" w:cs="Times New Roman"/>
          <w:sz w:val="24"/>
          <w:szCs w:val="24"/>
          <w:lang w:eastAsia="ru-RU"/>
        </w:rPr>
        <w:t xml:space="preserve"> </w:t>
      </w:r>
      <w:r w:rsidR="00EB5046" w:rsidRPr="00906EA7">
        <w:rPr>
          <w:rFonts w:ascii="Times New Roman" w:eastAsia="Times New Roman" w:hAnsi="Times New Roman" w:cs="Times New Roman"/>
          <w:sz w:val="24"/>
          <w:szCs w:val="24"/>
          <w:lang w:eastAsia="ru-RU"/>
        </w:rPr>
        <w:t>неизменным</w:t>
      </w:r>
      <w:r w:rsidR="00AF4C88" w:rsidRPr="00906EA7">
        <w:rPr>
          <w:rFonts w:ascii="Times New Roman" w:eastAsia="Times New Roman" w:hAnsi="Times New Roman" w:cs="Times New Roman"/>
          <w:sz w:val="24"/>
          <w:szCs w:val="24"/>
          <w:lang w:eastAsia="ru-RU"/>
        </w:rPr>
        <w:t>. З</w:t>
      </w:r>
      <w:r w:rsidR="00717824" w:rsidRPr="00906EA7">
        <w:rPr>
          <w:rFonts w:ascii="Times New Roman" w:eastAsia="Times New Roman" w:hAnsi="Times New Roman" w:cs="Times New Roman"/>
          <w:sz w:val="24"/>
          <w:szCs w:val="24"/>
          <w:lang w:eastAsia="ru-RU"/>
        </w:rPr>
        <w:t>а 201</w:t>
      </w:r>
      <w:r w:rsidR="00625180" w:rsidRPr="00906EA7">
        <w:rPr>
          <w:rFonts w:ascii="Times New Roman" w:eastAsia="Times New Roman" w:hAnsi="Times New Roman" w:cs="Times New Roman"/>
          <w:sz w:val="24"/>
          <w:szCs w:val="24"/>
          <w:lang w:eastAsia="ru-RU"/>
        </w:rPr>
        <w:t>9</w:t>
      </w:r>
      <w:r w:rsidR="00717824" w:rsidRPr="00906EA7">
        <w:rPr>
          <w:rFonts w:ascii="Times New Roman" w:eastAsia="Times New Roman" w:hAnsi="Times New Roman" w:cs="Times New Roman"/>
          <w:sz w:val="24"/>
          <w:szCs w:val="24"/>
          <w:lang w:eastAsia="ru-RU"/>
        </w:rPr>
        <w:t xml:space="preserve"> год </w:t>
      </w:r>
      <w:r w:rsidR="00AF4C88" w:rsidRPr="00906EA7">
        <w:rPr>
          <w:rFonts w:ascii="Times New Roman" w:eastAsia="Times New Roman" w:hAnsi="Times New Roman" w:cs="Times New Roman"/>
          <w:sz w:val="24"/>
          <w:szCs w:val="24"/>
          <w:lang w:eastAsia="ru-RU"/>
        </w:rPr>
        <w:t xml:space="preserve">удельный вес </w:t>
      </w:r>
      <w:r w:rsidR="00717824" w:rsidRPr="00906EA7">
        <w:rPr>
          <w:rFonts w:ascii="Times New Roman" w:eastAsia="Times New Roman" w:hAnsi="Times New Roman" w:cs="Times New Roman"/>
          <w:sz w:val="24"/>
          <w:szCs w:val="24"/>
          <w:lang w:eastAsia="ru-RU"/>
        </w:rPr>
        <w:t xml:space="preserve">женского населения </w:t>
      </w:r>
      <w:r w:rsidR="00EB5046" w:rsidRPr="00906EA7">
        <w:rPr>
          <w:rFonts w:ascii="Times New Roman" w:eastAsia="Times New Roman" w:hAnsi="Times New Roman" w:cs="Times New Roman"/>
          <w:sz w:val="24"/>
          <w:szCs w:val="24"/>
          <w:lang w:eastAsia="ru-RU"/>
        </w:rPr>
        <w:t>увеличился</w:t>
      </w:r>
      <w:r w:rsidR="00717824" w:rsidRPr="00906EA7">
        <w:rPr>
          <w:rFonts w:ascii="Times New Roman" w:eastAsia="Times New Roman" w:hAnsi="Times New Roman" w:cs="Times New Roman"/>
          <w:sz w:val="24"/>
          <w:szCs w:val="24"/>
          <w:lang w:eastAsia="ru-RU"/>
        </w:rPr>
        <w:t xml:space="preserve"> на 0,</w:t>
      </w:r>
      <w:r w:rsidR="00AF4C88" w:rsidRPr="00906EA7">
        <w:rPr>
          <w:rFonts w:ascii="Times New Roman" w:eastAsia="Times New Roman" w:hAnsi="Times New Roman" w:cs="Times New Roman"/>
          <w:sz w:val="24"/>
          <w:szCs w:val="24"/>
          <w:lang w:eastAsia="ru-RU"/>
        </w:rPr>
        <w:t>02</w:t>
      </w:r>
      <w:r w:rsidR="00717824" w:rsidRPr="00906EA7">
        <w:rPr>
          <w:rFonts w:ascii="Times New Roman" w:eastAsia="Times New Roman" w:hAnsi="Times New Roman" w:cs="Times New Roman"/>
          <w:sz w:val="24"/>
          <w:szCs w:val="24"/>
          <w:lang w:eastAsia="ru-RU"/>
        </w:rPr>
        <w:t xml:space="preserve"> процентных пункт</w:t>
      </w:r>
      <w:r w:rsidR="008A50E8" w:rsidRPr="00906EA7">
        <w:rPr>
          <w:rFonts w:ascii="Times New Roman" w:eastAsia="Times New Roman" w:hAnsi="Times New Roman" w:cs="Times New Roman"/>
          <w:sz w:val="24"/>
          <w:szCs w:val="24"/>
          <w:lang w:eastAsia="ru-RU"/>
        </w:rPr>
        <w:t>а</w:t>
      </w:r>
      <w:r w:rsidR="00717824" w:rsidRPr="00906EA7">
        <w:rPr>
          <w:rFonts w:ascii="Times New Roman" w:eastAsia="Times New Roman" w:hAnsi="Times New Roman" w:cs="Times New Roman"/>
          <w:sz w:val="24"/>
          <w:szCs w:val="24"/>
          <w:lang w:eastAsia="ru-RU"/>
        </w:rPr>
        <w:t xml:space="preserve">, </w:t>
      </w:r>
      <w:r w:rsidR="00AF4C88" w:rsidRPr="00906EA7">
        <w:rPr>
          <w:rFonts w:ascii="Times New Roman" w:eastAsia="Times New Roman" w:hAnsi="Times New Roman" w:cs="Times New Roman"/>
          <w:sz w:val="24"/>
          <w:szCs w:val="24"/>
          <w:lang w:eastAsia="ru-RU"/>
        </w:rPr>
        <w:t xml:space="preserve">в целом </w:t>
      </w:r>
      <w:r w:rsidR="00717824" w:rsidRPr="00906EA7">
        <w:rPr>
          <w:rFonts w:ascii="Times New Roman" w:eastAsia="Times New Roman" w:hAnsi="Times New Roman" w:cs="Times New Roman"/>
          <w:sz w:val="24"/>
          <w:szCs w:val="24"/>
          <w:lang w:eastAsia="ru-RU"/>
        </w:rPr>
        <w:t>за период 201</w:t>
      </w:r>
      <w:r w:rsidR="008A50E8" w:rsidRPr="00906EA7">
        <w:rPr>
          <w:rFonts w:ascii="Times New Roman" w:eastAsia="Times New Roman" w:hAnsi="Times New Roman" w:cs="Times New Roman"/>
          <w:sz w:val="24"/>
          <w:szCs w:val="24"/>
          <w:lang w:eastAsia="ru-RU"/>
        </w:rPr>
        <w:t>7</w:t>
      </w:r>
      <w:r w:rsidR="00717824" w:rsidRPr="00906EA7">
        <w:rPr>
          <w:rFonts w:ascii="Times New Roman" w:eastAsia="Times New Roman" w:hAnsi="Times New Roman" w:cs="Times New Roman"/>
          <w:sz w:val="24"/>
          <w:szCs w:val="24"/>
          <w:lang w:eastAsia="ru-RU"/>
        </w:rPr>
        <w:t>-201</w:t>
      </w:r>
      <w:r w:rsidR="008A50E8" w:rsidRPr="00906EA7">
        <w:rPr>
          <w:rFonts w:ascii="Times New Roman" w:eastAsia="Times New Roman" w:hAnsi="Times New Roman" w:cs="Times New Roman"/>
          <w:sz w:val="24"/>
          <w:szCs w:val="24"/>
          <w:lang w:eastAsia="ru-RU"/>
        </w:rPr>
        <w:t>9</w:t>
      </w:r>
      <w:r w:rsidR="00717824" w:rsidRPr="00906EA7">
        <w:rPr>
          <w:rFonts w:ascii="Times New Roman" w:eastAsia="Times New Roman" w:hAnsi="Times New Roman" w:cs="Times New Roman"/>
          <w:sz w:val="24"/>
          <w:szCs w:val="24"/>
          <w:lang w:eastAsia="ru-RU"/>
        </w:rPr>
        <w:t xml:space="preserve"> год</w:t>
      </w:r>
      <w:r w:rsidR="00AF4C88" w:rsidRPr="00906EA7">
        <w:rPr>
          <w:rFonts w:ascii="Times New Roman" w:eastAsia="Times New Roman" w:hAnsi="Times New Roman" w:cs="Times New Roman"/>
          <w:sz w:val="24"/>
          <w:szCs w:val="24"/>
          <w:lang w:eastAsia="ru-RU"/>
        </w:rPr>
        <w:t>ов</w:t>
      </w:r>
      <w:r w:rsidR="00717824" w:rsidRPr="00906EA7">
        <w:rPr>
          <w:rFonts w:ascii="Times New Roman" w:eastAsia="Times New Roman" w:hAnsi="Times New Roman" w:cs="Times New Roman"/>
          <w:sz w:val="24"/>
          <w:szCs w:val="24"/>
          <w:lang w:eastAsia="ru-RU"/>
        </w:rPr>
        <w:t xml:space="preserve"> </w:t>
      </w:r>
      <w:r w:rsidR="00AF4C88" w:rsidRPr="00906EA7">
        <w:rPr>
          <w:rFonts w:ascii="Times New Roman" w:eastAsia="Times New Roman" w:hAnsi="Times New Roman" w:cs="Times New Roman"/>
          <w:sz w:val="24"/>
          <w:szCs w:val="24"/>
          <w:lang w:eastAsia="ru-RU"/>
        </w:rPr>
        <w:t xml:space="preserve">увеличился </w:t>
      </w:r>
      <w:r w:rsidR="00717824" w:rsidRPr="00906EA7">
        <w:rPr>
          <w:rFonts w:ascii="Times New Roman" w:eastAsia="Times New Roman" w:hAnsi="Times New Roman" w:cs="Times New Roman"/>
          <w:sz w:val="24"/>
          <w:szCs w:val="24"/>
          <w:lang w:eastAsia="ru-RU"/>
        </w:rPr>
        <w:t xml:space="preserve">на </w:t>
      </w:r>
      <w:r w:rsidR="00AF4C88" w:rsidRPr="00906EA7">
        <w:rPr>
          <w:rFonts w:ascii="Times New Roman" w:eastAsia="Times New Roman" w:hAnsi="Times New Roman" w:cs="Times New Roman"/>
          <w:sz w:val="24"/>
          <w:szCs w:val="24"/>
          <w:lang w:eastAsia="ru-RU"/>
        </w:rPr>
        <w:t>0,27</w:t>
      </w:r>
      <w:r w:rsidR="00717824" w:rsidRPr="00906EA7">
        <w:rPr>
          <w:rFonts w:ascii="Times New Roman" w:eastAsia="Times New Roman" w:hAnsi="Times New Roman" w:cs="Times New Roman"/>
          <w:sz w:val="24"/>
          <w:szCs w:val="24"/>
          <w:lang w:eastAsia="ru-RU"/>
        </w:rPr>
        <w:t xml:space="preserve"> процент</w:t>
      </w:r>
      <w:r w:rsidR="008A50E8" w:rsidRPr="00906EA7">
        <w:rPr>
          <w:rFonts w:ascii="Times New Roman" w:eastAsia="Times New Roman" w:hAnsi="Times New Roman" w:cs="Times New Roman"/>
          <w:sz w:val="24"/>
          <w:szCs w:val="24"/>
          <w:lang w:eastAsia="ru-RU"/>
        </w:rPr>
        <w:t>ных пункта</w:t>
      </w:r>
      <w:r w:rsidR="00717824" w:rsidRPr="00906EA7">
        <w:rPr>
          <w:rFonts w:ascii="Times New Roman" w:eastAsia="Times New Roman" w:hAnsi="Times New Roman" w:cs="Times New Roman"/>
          <w:sz w:val="24"/>
          <w:szCs w:val="24"/>
          <w:lang w:eastAsia="ru-RU"/>
        </w:rPr>
        <w:t xml:space="preserve">, </w:t>
      </w:r>
      <w:r w:rsidR="00AF4C88" w:rsidRPr="00906EA7">
        <w:rPr>
          <w:rFonts w:ascii="Times New Roman" w:eastAsia="Times New Roman" w:hAnsi="Times New Roman" w:cs="Times New Roman"/>
          <w:sz w:val="24"/>
          <w:szCs w:val="24"/>
          <w:lang w:eastAsia="ru-RU"/>
        </w:rPr>
        <w:t>удельный вес</w:t>
      </w:r>
      <w:r w:rsidR="00717824" w:rsidRPr="00906EA7">
        <w:rPr>
          <w:rFonts w:ascii="Times New Roman" w:eastAsia="Times New Roman" w:hAnsi="Times New Roman" w:cs="Times New Roman"/>
          <w:sz w:val="24"/>
          <w:szCs w:val="24"/>
          <w:lang w:eastAsia="ru-RU"/>
        </w:rPr>
        <w:t xml:space="preserve"> мужского населения снизилс</w:t>
      </w:r>
      <w:r w:rsidR="00AF4C88" w:rsidRPr="00906EA7">
        <w:rPr>
          <w:rFonts w:ascii="Times New Roman" w:eastAsia="Times New Roman" w:hAnsi="Times New Roman" w:cs="Times New Roman"/>
          <w:sz w:val="24"/>
          <w:szCs w:val="24"/>
          <w:lang w:eastAsia="ru-RU"/>
        </w:rPr>
        <w:t>я</w:t>
      </w:r>
      <w:r w:rsidR="00717824" w:rsidRPr="00906EA7">
        <w:rPr>
          <w:rFonts w:ascii="Times New Roman" w:eastAsia="Times New Roman" w:hAnsi="Times New Roman" w:cs="Times New Roman"/>
          <w:sz w:val="24"/>
          <w:szCs w:val="24"/>
          <w:lang w:eastAsia="ru-RU"/>
        </w:rPr>
        <w:t xml:space="preserve"> на 0,</w:t>
      </w:r>
      <w:r w:rsidR="00AF4C88" w:rsidRPr="00906EA7">
        <w:rPr>
          <w:rFonts w:ascii="Times New Roman" w:eastAsia="Times New Roman" w:hAnsi="Times New Roman" w:cs="Times New Roman"/>
          <w:sz w:val="24"/>
          <w:szCs w:val="24"/>
          <w:lang w:eastAsia="ru-RU"/>
        </w:rPr>
        <w:t>02</w:t>
      </w:r>
      <w:r w:rsidR="00717824" w:rsidRPr="00906EA7">
        <w:rPr>
          <w:rFonts w:ascii="Times New Roman" w:eastAsia="Times New Roman" w:hAnsi="Times New Roman" w:cs="Times New Roman"/>
          <w:sz w:val="24"/>
          <w:szCs w:val="24"/>
          <w:lang w:eastAsia="ru-RU"/>
        </w:rPr>
        <w:t xml:space="preserve"> и 0,</w:t>
      </w:r>
      <w:r w:rsidR="00AF4C88" w:rsidRPr="00906EA7">
        <w:rPr>
          <w:rFonts w:ascii="Times New Roman" w:eastAsia="Times New Roman" w:hAnsi="Times New Roman" w:cs="Times New Roman"/>
          <w:sz w:val="24"/>
          <w:szCs w:val="24"/>
          <w:lang w:eastAsia="ru-RU"/>
        </w:rPr>
        <w:t>27</w:t>
      </w:r>
      <w:r w:rsidR="007571E6" w:rsidRPr="00906EA7">
        <w:rPr>
          <w:rFonts w:ascii="Times New Roman" w:eastAsia="Times New Roman" w:hAnsi="Times New Roman" w:cs="Times New Roman"/>
          <w:sz w:val="24"/>
          <w:szCs w:val="24"/>
          <w:lang w:eastAsia="ru-RU"/>
        </w:rPr>
        <w:t xml:space="preserve"> </w:t>
      </w:r>
      <w:r w:rsidR="00717824" w:rsidRPr="00906EA7">
        <w:rPr>
          <w:rFonts w:ascii="Times New Roman" w:eastAsia="Times New Roman" w:hAnsi="Times New Roman" w:cs="Times New Roman"/>
          <w:sz w:val="24"/>
          <w:szCs w:val="24"/>
          <w:lang w:eastAsia="ru-RU"/>
        </w:rPr>
        <w:t>соответственно.</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Население территории имеет тенденцию к «взрослению» в целом и более интенсивно прибавляют в возрасте женщины, с </w:t>
      </w:r>
      <w:r w:rsidR="00EE6F33" w:rsidRPr="00906EA7">
        <w:rPr>
          <w:rFonts w:ascii="Times New Roman" w:eastAsia="Times New Roman" w:hAnsi="Times New Roman" w:cs="Times New Roman"/>
          <w:sz w:val="24"/>
          <w:szCs w:val="24"/>
          <w:lang w:eastAsia="ru-RU"/>
        </w:rPr>
        <w:t>36,12</w:t>
      </w:r>
      <w:r w:rsidRPr="00906EA7">
        <w:rPr>
          <w:rFonts w:ascii="Times New Roman" w:eastAsia="Times New Roman" w:hAnsi="Times New Roman" w:cs="Times New Roman"/>
          <w:sz w:val="24"/>
          <w:szCs w:val="24"/>
          <w:lang w:eastAsia="ru-RU"/>
        </w:rPr>
        <w:t xml:space="preserve"> лет в 201</w:t>
      </w:r>
      <w:r w:rsidR="00EE6F33"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 xml:space="preserve"> году до</w:t>
      </w:r>
      <w:r w:rsidR="002B7111" w:rsidRPr="00906EA7">
        <w:rPr>
          <w:rFonts w:ascii="Times New Roman" w:eastAsia="Times New Roman" w:hAnsi="Times New Roman" w:cs="Times New Roman"/>
          <w:sz w:val="24"/>
          <w:szCs w:val="24"/>
          <w:lang w:eastAsia="ru-RU"/>
        </w:rPr>
        <w:t xml:space="preserve"> 36,</w:t>
      </w:r>
      <w:r w:rsidR="00EE6F33" w:rsidRPr="00906EA7">
        <w:rPr>
          <w:rFonts w:ascii="Times New Roman" w:eastAsia="Times New Roman" w:hAnsi="Times New Roman" w:cs="Times New Roman"/>
          <w:sz w:val="24"/>
          <w:szCs w:val="24"/>
          <w:lang w:eastAsia="ru-RU"/>
        </w:rPr>
        <w:t>5</w:t>
      </w:r>
      <w:r w:rsidR="002B7111" w:rsidRPr="00906EA7">
        <w:rPr>
          <w:rFonts w:ascii="Times New Roman" w:eastAsia="Times New Roman" w:hAnsi="Times New Roman" w:cs="Times New Roman"/>
          <w:sz w:val="24"/>
          <w:szCs w:val="24"/>
          <w:lang w:eastAsia="ru-RU"/>
        </w:rPr>
        <w:t xml:space="preserve"> лет в 201</w:t>
      </w:r>
      <w:r w:rsidR="00EE6F33" w:rsidRPr="00906EA7">
        <w:rPr>
          <w:rFonts w:ascii="Times New Roman" w:eastAsia="Times New Roman" w:hAnsi="Times New Roman" w:cs="Times New Roman"/>
          <w:sz w:val="24"/>
          <w:szCs w:val="24"/>
          <w:lang w:eastAsia="ru-RU"/>
        </w:rPr>
        <w:t>9</w:t>
      </w:r>
      <w:r w:rsidR="002B7111" w:rsidRPr="00906EA7">
        <w:rPr>
          <w:rFonts w:ascii="Times New Roman" w:eastAsia="Times New Roman" w:hAnsi="Times New Roman" w:cs="Times New Roman"/>
          <w:sz w:val="24"/>
          <w:szCs w:val="24"/>
          <w:lang w:eastAsia="ru-RU"/>
        </w:rPr>
        <w:t xml:space="preserve"> году, мужчины</w:t>
      </w:r>
      <w:r w:rsidRPr="00906EA7">
        <w:rPr>
          <w:rFonts w:ascii="Times New Roman" w:eastAsia="Times New Roman" w:hAnsi="Times New Roman" w:cs="Times New Roman"/>
          <w:sz w:val="24"/>
          <w:szCs w:val="24"/>
          <w:lang w:eastAsia="ru-RU"/>
        </w:rPr>
        <w:t xml:space="preserve"> </w:t>
      </w:r>
      <w:r w:rsidR="00EE6F33" w:rsidRPr="00906EA7">
        <w:rPr>
          <w:rFonts w:ascii="Times New Roman" w:eastAsia="Times New Roman" w:hAnsi="Times New Roman" w:cs="Times New Roman"/>
          <w:sz w:val="24"/>
          <w:szCs w:val="24"/>
          <w:lang w:eastAsia="ru-RU"/>
        </w:rPr>
        <w:t>при</w:t>
      </w:r>
      <w:r w:rsidR="002B7111" w:rsidRPr="00906EA7">
        <w:rPr>
          <w:rFonts w:ascii="Times New Roman" w:eastAsia="Times New Roman" w:hAnsi="Times New Roman" w:cs="Times New Roman"/>
          <w:sz w:val="24"/>
          <w:szCs w:val="24"/>
          <w:lang w:eastAsia="ru-RU"/>
        </w:rPr>
        <w:t>бавили в</w:t>
      </w:r>
      <w:r w:rsidRPr="00906EA7">
        <w:rPr>
          <w:rFonts w:ascii="Times New Roman" w:eastAsia="Times New Roman" w:hAnsi="Times New Roman" w:cs="Times New Roman"/>
          <w:sz w:val="24"/>
          <w:szCs w:val="24"/>
          <w:lang w:eastAsia="ru-RU"/>
        </w:rPr>
        <w:t xml:space="preserve"> возраст</w:t>
      </w:r>
      <w:r w:rsidR="002B7111" w:rsidRPr="00906EA7">
        <w:rPr>
          <w:rFonts w:ascii="Times New Roman" w:eastAsia="Times New Roman" w:hAnsi="Times New Roman" w:cs="Times New Roman"/>
          <w:sz w:val="24"/>
          <w:szCs w:val="24"/>
          <w:lang w:eastAsia="ru-RU"/>
        </w:rPr>
        <w:t>е на</w:t>
      </w:r>
      <w:r w:rsidRPr="00906EA7">
        <w:rPr>
          <w:rFonts w:ascii="Times New Roman" w:eastAsia="Times New Roman" w:hAnsi="Times New Roman" w:cs="Times New Roman"/>
          <w:sz w:val="24"/>
          <w:szCs w:val="24"/>
          <w:lang w:eastAsia="ru-RU"/>
        </w:rPr>
        <w:t xml:space="preserve"> 0,</w:t>
      </w:r>
      <w:r w:rsidR="00EE6F33" w:rsidRPr="00906EA7">
        <w:rPr>
          <w:rFonts w:ascii="Times New Roman" w:eastAsia="Times New Roman" w:hAnsi="Times New Roman" w:cs="Times New Roman"/>
          <w:sz w:val="24"/>
          <w:szCs w:val="24"/>
          <w:lang w:eastAsia="ru-RU"/>
        </w:rPr>
        <w:t>24</w:t>
      </w:r>
      <w:r w:rsidRPr="00906EA7">
        <w:rPr>
          <w:rFonts w:ascii="Times New Roman" w:eastAsia="Times New Roman" w:hAnsi="Times New Roman" w:cs="Times New Roman"/>
          <w:sz w:val="24"/>
          <w:szCs w:val="24"/>
          <w:lang w:eastAsia="ru-RU"/>
        </w:rPr>
        <w:t xml:space="preserve"> пункт</w:t>
      </w:r>
      <w:r w:rsidR="00EE6F33"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w:t>
      </w:r>
    </w:p>
    <w:p w:rsidR="00C25503" w:rsidRPr="00906EA7" w:rsidRDefault="00C25503"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Не подвержена сильным колебаниям общедемографических процессов численность коренных народов Севера.</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w:t>
      </w:r>
      <w:r w:rsidR="00273AD4"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на территории городского округа город Мегион проживает </w:t>
      </w:r>
      <w:r w:rsidR="00273AD4" w:rsidRPr="00906EA7">
        <w:rPr>
          <w:rFonts w:ascii="Times New Roman" w:eastAsia="Times New Roman" w:hAnsi="Times New Roman" w:cs="Times New Roman"/>
          <w:sz w:val="24"/>
          <w:szCs w:val="24"/>
          <w:lang w:eastAsia="ru-RU"/>
        </w:rPr>
        <w:t>238</w:t>
      </w:r>
      <w:r w:rsidRPr="00906EA7">
        <w:rPr>
          <w:rFonts w:ascii="Times New Roman" w:eastAsia="Times New Roman" w:hAnsi="Times New Roman" w:cs="Times New Roman"/>
          <w:sz w:val="24"/>
          <w:szCs w:val="24"/>
          <w:lang w:eastAsia="ru-RU"/>
        </w:rPr>
        <w:t xml:space="preserve"> человек из числа малочисленных коренных народов Севера против 24</w:t>
      </w:r>
      <w:r w:rsidR="00273AD4"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 xml:space="preserve"> человек в 201</w:t>
      </w:r>
      <w:r w:rsidR="00273AD4"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Их численность от общего количества жителей составляет всего лишь 0,4</w:t>
      </w:r>
      <w:r w:rsidR="00273AD4" w:rsidRPr="00906EA7">
        <w:rPr>
          <w:rFonts w:ascii="Times New Roman" w:eastAsia="Times New Roman" w:hAnsi="Times New Roman" w:cs="Times New Roman"/>
          <w:sz w:val="24"/>
          <w:szCs w:val="24"/>
          <w:lang w:eastAsia="ru-RU"/>
        </w:rPr>
        <w:t>4</w:t>
      </w:r>
      <w:r w:rsidRPr="00906EA7">
        <w:rPr>
          <w:rFonts w:ascii="Times New Roman" w:eastAsia="Times New Roman" w:hAnsi="Times New Roman" w:cs="Times New Roman"/>
          <w:sz w:val="24"/>
          <w:szCs w:val="24"/>
          <w:lang w:eastAsia="ru-RU"/>
        </w:rPr>
        <w:t>% и состоит из представителей трех народностей:</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ханты </w:t>
      </w:r>
      <w:r w:rsidR="00273AD4" w:rsidRPr="00906EA7">
        <w:rPr>
          <w:rFonts w:ascii="Times New Roman" w:eastAsia="Times New Roman" w:hAnsi="Times New Roman" w:cs="Times New Roman"/>
          <w:sz w:val="24"/>
          <w:szCs w:val="24"/>
          <w:lang w:eastAsia="ru-RU"/>
        </w:rPr>
        <w:t>199</w:t>
      </w:r>
      <w:r w:rsidRPr="00906EA7">
        <w:rPr>
          <w:rFonts w:ascii="Times New Roman" w:eastAsia="Times New Roman" w:hAnsi="Times New Roman" w:cs="Times New Roman"/>
          <w:sz w:val="24"/>
          <w:szCs w:val="24"/>
          <w:lang w:eastAsia="ru-RU"/>
        </w:rPr>
        <w:t xml:space="preserve"> 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83,</w:t>
      </w:r>
      <w:r w:rsidR="00273AD4" w:rsidRPr="00906EA7">
        <w:rPr>
          <w:rFonts w:ascii="Times New Roman" w:eastAsia="Times New Roman" w:hAnsi="Times New Roman" w:cs="Times New Roman"/>
          <w:sz w:val="24"/>
          <w:szCs w:val="24"/>
          <w:lang w:eastAsia="ru-RU"/>
        </w:rPr>
        <w:t>6</w:t>
      </w:r>
      <w:r w:rsidRPr="00906EA7">
        <w:rPr>
          <w:rFonts w:ascii="Times New Roman" w:eastAsia="Times New Roman" w:hAnsi="Times New Roman" w:cs="Times New Roman"/>
          <w:sz w:val="24"/>
          <w:szCs w:val="24"/>
          <w:lang w:eastAsia="ru-RU"/>
        </w:rPr>
        <w:t>% (83,</w:t>
      </w:r>
      <w:r w:rsidR="00273AD4" w:rsidRPr="00906EA7">
        <w:rPr>
          <w:rFonts w:ascii="Times New Roman" w:eastAsia="Times New Roman" w:hAnsi="Times New Roman" w:cs="Times New Roman"/>
          <w:sz w:val="24"/>
          <w:szCs w:val="24"/>
          <w:lang w:eastAsia="ru-RU"/>
        </w:rPr>
        <w:t>1</w:t>
      </w:r>
      <w:r w:rsidRPr="00906EA7">
        <w:rPr>
          <w:rFonts w:ascii="Times New Roman" w:eastAsia="Times New Roman" w:hAnsi="Times New Roman" w:cs="Times New Roman"/>
          <w:sz w:val="24"/>
          <w:szCs w:val="24"/>
          <w:lang w:eastAsia="ru-RU"/>
        </w:rPr>
        <w:t>%  201</w:t>
      </w:r>
      <w:r w:rsidR="00273AD4"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от общего числа коренных народов;</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манси 3</w:t>
      </w:r>
      <w:r w:rsidR="00273AD4" w:rsidRPr="00906EA7">
        <w:rPr>
          <w:rFonts w:ascii="Times New Roman" w:eastAsia="Times New Roman" w:hAnsi="Times New Roman" w:cs="Times New Roman"/>
          <w:sz w:val="24"/>
          <w:szCs w:val="24"/>
          <w:lang w:eastAsia="ru-RU"/>
        </w:rPr>
        <w:t>3</w:t>
      </w:r>
      <w:r w:rsidRPr="00906EA7">
        <w:rPr>
          <w:rFonts w:ascii="Times New Roman" w:eastAsia="Times New Roman" w:hAnsi="Times New Roman" w:cs="Times New Roman"/>
          <w:sz w:val="24"/>
          <w:szCs w:val="24"/>
          <w:lang w:eastAsia="ru-RU"/>
        </w:rPr>
        <w:t xml:space="preserve"> человека</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w:t>
      </w:r>
      <w:r w:rsidR="00273AD4" w:rsidRPr="00906EA7">
        <w:rPr>
          <w:rFonts w:ascii="Times New Roman" w:eastAsia="Times New Roman" w:hAnsi="Times New Roman" w:cs="Times New Roman"/>
          <w:sz w:val="24"/>
          <w:szCs w:val="24"/>
          <w:lang w:eastAsia="ru-RU"/>
        </w:rPr>
        <w:t>13,9</w:t>
      </w:r>
      <w:r w:rsidRPr="00906EA7">
        <w:rPr>
          <w:rFonts w:ascii="Times New Roman" w:eastAsia="Times New Roman" w:hAnsi="Times New Roman" w:cs="Times New Roman"/>
          <w:sz w:val="24"/>
          <w:szCs w:val="24"/>
          <w:lang w:eastAsia="ru-RU"/>
        </w:rPr>
        <w:t>% (</w:t>
      </w:r>
      <w:r w:rsidR="00273AD4" w:rsidRPr="00906EA7">
        <w:rPr>
          <w:rFonts w:ascii="Times New Roman" w:eastAsia="Times New Roman" w:hAnsi="Times New Roman" w:cs="Times New Roman"/>
          <w:sz w:val="24"/>
          <w:szCs w:val="24"/>
          <w:lang w:eastAsia="ru-RU"/>
        </w:rPr>
        <w:t>14</w:t>
      </w:r>
      <w:r w:rsidRPr="00906EA7">
        <w:rPr>
          <w:rFonts w:ascii="Times New Roman" w:eastAsia="Times New Roman" w:hAnsi="Times New Roman" w:cs="Times New Roman"/>
          <w:sz w:val="24"/>
          <w:szCs w:val="24"/>
          <w:lang w:eastAsia="ru-RU"/>
        </w:rPr>
        <w:t>%);</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ненцы </w:t>
      </w:r>
      <w:r w:rsidR="00273AD4" w:rsidRPr="00906EA7">
        <w:rPr>
          <w:rFonts w:ascii="Times New Roman" w:eastAsia="Times New Roman" w:hAnsi="Times New Roman" w:cs="Times New Roman"/>
          <w:sz w:val="24"/>
          <w:szCs w:val="24"/>
          <w:lang w:eastAsia="ru-RU"/>
        </w:rPr>
        <w:t>6</w:t>
      </w:r>
      <w:r w:rsidRPr="00906EA7">
        <w:rPr>
          <w:rFonts w:ascii="Times New Roman" w:eastAsia="Times New Roman" w:hAnsi="Times New Roman" w:cs="Times New Roman"/>
          <w:sz w:val="24"/>
          <w:szCs w:val="24"/>
          <w:lang w:eastAsia="ru-RU"/>
        </w:rPr>
        <w:t xml:space="preserve"> человек 2,</w:t>
      </w:r>
      <w:r w:rsidR="00273AD4" w:rsidRPr="00906EA7">
        <w:rPr>
          <w:rFonts w:ascii="Times New Roman" w:eastAsia="Times New Roman" w:hAnsi="Times New Roman" w:cs="Times New Roman"/>
          <w:sz w:val="24"/>
          <w:szCs w:val="24"/>
          <w:lang w:eastAsia="ru-RU"/>
        </w:rPr>
        <w:t>5</w:t>
      </w:r>
      <w:r w:rsidRPr="00906EA7">
        <w:rPr>
          <w:rFonts w:ascii="Times New Roman" w:eastAsia="Times New Roman" w:hAnsi="Times New Roman" w:cs="Times New Roman"/>
          <w:sz w:val="24"/>
          <w:szCs w:val="24"/>
          <w:lang w:eastAsia="ru-RU"/>
        </w:rPr>
        <w:t>% (2,</w:t>
      </w:r>
      <w:r w:rsidR="00273AD4"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соответственно.</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женщин 1</w:t>
      </w:r>
      <w:r w:rsidR="005B40F7" w:rsidRPr="00906EA7">
        <w:rPr>
          <w:rFonts w:ascii="Times New Roman" w:eastAsia="Times New Roman" w:hAnsi="Times New Roman" w:cs="Times New Roman"/>
          <w:sz w:val="24"/>
          <w:szCs w:val="24"/>
          <w:lang w:eastAsia="ru-RU"/>
        </w:rPr>
        <w:t>28</w:t>
      </w:r>
      <w:r w:rsidRPr="00906EA7">
        <w:rPr>
          <w:rFonts w:ascii="Times New Roman" w:eastAsia="Times New Roman" w:hAnsi="Times New Roman" w:cs="Times New Roman"/>
          <w:sz w:val="24"/>
          <w:szCs w:val="24"/>
          <w:lang w:eastAsia="ru-RU"/>
        </w:rPr>
        <w:t xml:space="preserve"> 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53,</w:t>
      </w:r>
      <w:r w:rsidR="005B40F7"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от общей численности малочисленных коренных народов, мужчин 11</w:t>
      </w:r>
      <w:r w:rsidR="005B40F7" w:rsidRPr="00906EA7">
        <w:rPr>
          <w:rFonts w:ascii="Times New Roman" w:eastAsia="Times New Roman" w:hAnsi="Times New Roman" w:cs="Times New Roman"/>
          <w:sz w:val="24"/>
          <w:szCs w:val="24"/>
          <w:lang w:eastAsia="ru-RU"/>
        </w:rPr>
        <w:t>0</w:t>
      </w:r>
      <w:r w:rsidRPr="00906EA7">
        <w:rPr>
          <w:rFonts w:ascii="Times New Roman" w:eastAsia="Times New Roman" w:hAnsi="Times New Roman" w:cs="Times New Roman"/>
          <w:sz w:val="24"/>
          <w:szCs w:val="24"/>
          <w:lang w:eastAsia="ru-RU"/>
        </w:rPr>
        <w:t xml:space="preserve"> 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46,</w:t>
      </w:r>
      <w:r w:rsidR="005B40F7"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w:t>
      </w:r>
      <w:r w:rsidR="005B40F7"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выехали за пределы городского округа на постоянное место проживания</w:t>
      </w:r>
      <w:r w:rsidR="005B40F7" w:rsidRPr="00906EA7">
        <w:rPr>
          <w:rFonts w:ascii="Times New Roman" w:eastAsia="Times New Roman" w:hAnsi="Times New Roman" w:cs="Times New Roman"/>
          <w:sz w:val="24"/>
          <w:szCs w:val="24"/>
          <w:lang w:eastAsia="ru-RU"/>
        </w:rPr>
        <w:t xml:space="preserve"> из числа по национальности ханты - 1 женщина, манси - 1 женщина и ненцы – 1 мужчина</w:t>
      </w:r>
      <w:r w:rsidRPr="00906EA7">
        <w:rPr>
          <w:rFonts w:ascii="Times New Roman" w:eastAsia="Times New Roman" w:hAnsi="Times New Roman" w:cs="Times New Roman"/>
          <w:sz w:val="24"/>
          <w:szCs w:val="24"/>
          <w:lang w:eastAsia="ru-RU"/>
        </w:rPr>
        <w:t>.</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Также в 201</w:t>
      </w:r>
      <w:r w:rsidR="00273AD4"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родил</w:t>
      </w:r>
      <w:r w:rsidR="00273AD4"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с</w:t>
      </w:r>
      <w:r w:rsidR="00273AD4" w:rsidRPr="00906EA7">
        <w:rPr>
          <w:rFonts w:ascii="Times New Roman" w:eastAsia="Times New Roman" w:hAnsi="Times New Roman" w:cs="Times New Roman"/>
          <w:sz w:val="24"/>
          <w:szCs w:val="24"/>
          <w:lang w:eastAsia="ru-RU"/>
        </w:rPr>
        <w:t>ь</w:t>
      </w:r>
      <w:r w:rsidRPr="00906EA7">
        <w:rPr>
          <w:rFonts w:ascii="Times New Roman" w:eastAsia="Times New Roman" w:hAnsi="Times New Roman" w:cs="Times New Roman"/>
          <w:sz w:val="24"/>
          <w:szCs w:val="24"/>
          <w:lang w:eastAsia="ru-RU"/>
        </w:rPr>
        <w:t xml:space="preserve"> </w:t>
      </w:r>
      <w:r w:rsidR="00273AD4" w:rsidRPr="00906EA7">
        <w:rPr>
          <w:rFonts w:ascii="Times New Roman" w:eastAsia="Times New Roman" w:hAnsi="Times New Roman" w:cs="Times New Roman"/>
          <w:sz w:val="24"/>
          <w:szCs w:val="24"/>
          <w:lang w:eastAsia="ru-RU"/>
        </w:rPr>
        <w:t>девочка</w:t>
      </w:r>
      <w:r w:rsidRPr="00906EA7">
        <w:rPr>
          <w:rFonts w:ascii="Times New Roman" w:eastAsia="Times New Roman" w:hAnsi="Times New Roman" w:cs="Times New Roman"/>
          <w:sz w:val="24"/>
          <w:szCs w:val="24"/>
          <w:lang w:eastAsia="ru-RU"/>
        </w:rPr>
        <w:t xml:space="preserve"> по национальности </w:t>
      </w:r>
      <w:r w:rsidR="00273AD4" w:rsidRPr="00906EA7">
        <w:rPr>
          <w:rFonts w:ascii="Times New Roman" w:eastAsia="Times New Roman" w:hAnsi="Times New Roman" w:cs="Times New Roman"/>
          <w:sz w:val="24"/>
          <w:szCs w:val="24"/>
          <w:lang w:eastAsia="ru-RU"/>
        </w:rPr>
        <w:t>ханты</w:t>
      </w:r>
      <w:r w:rsidRPr="00906EA7">
        <w:rPr>
          <w:rFonts w:ascii="Times New Roman" w:eastAsia="Times New Roman" w:hAnsi="Times New Roman" w:cs="Times New Roman"/>
          <w:sz w:val="24"/>
          <w:szCs w:val="24"/>
          <w:lang w:eastAsia="ru-RU"/>
        </w:rPr>
        <w:t xml:space="preserve"> и умер</w:t>
      </w:r>
      <w:r w:rsidR="00273AD4" w:rsidRPr="00906EA7">
        <w:rPr>
          <w:rFonts w:ascii="Times New Roman" w:eastAsia="Times New Roman" w:hAnsi="Times New Roman" w:cs="Times New Roman"/>
          <w:sz w:val="24"/>
          <w:szCs w:val="24"/>
          <w:lang w:eastAsia="ru-RU"/>
        </w:rPr>
        <w:t xml:space="preserve">ли </w:t>
      </w:r>
      <w:r w:rsidRPr="00906EA7">
        <w:rPr>
          <w:rFonts w:ascii="Times New Roman" w:eastAsia="Times New Roman" w:hAnsi="Times New Roman" w:cs="Times New Roman"/>
          <w:sz w:val="24"/>
          <w:szCs w:val="24"/>
          <w:lang w:eastAsia="ru-RU"/>
        </w:rPr>
        <w:t xml:space="preserve">мужчина </w:t>
      </w:r>
      <w:r w:rsidR="00273AD4" w:rsidRPr="00906EA7">
        <w:rPr>
          <w:rFonts w:ascii="Times New Roman" w:eastAsia="Times New Roman" w:hAnsi="Times New Roman" w:cs="Times New Roman"/>
          <w:sz w:val="24"/>
          <w:szCs w:val="24"/>
          <w:lang w:eastAsia="ru-RU"/>
        </w:rPr>
        <w:t xml:space="preserve">и женщина </w:t>
      </w:r>
      <w:r w:rsidRPr="00906EA7">
        <w:rPr>
          <w:rFonts w:ascii="Times New Roman" w:eastAsia="Times New Roman" w:hAnsi="Times New Roman" w:cs="Times New Roman"/>
          <w:sz w:val="24"/>
          <w:szCs w:val="24"/>
          <w:lang w:eastAsia="ru-RU"/>
        </w:rPr>
        <w:t>пенсионного возраста по национальности ханты.</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Миграционное движение населения</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Миграционная убыль населения остается главной причиной сокращения численности населения. За 201</w:t>
      </w:r>
      <w:r w:rsidR="000F26B0"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 в сравнении  с показателями 201</w:t>
      </w:r>
      <w:r w:rsidR="000F26B0" w:rsidRPr="00906EA7">
        <w:rPr>
          <w:rFonts w:ascii="Times New Roman" w:hAnsi="Times New Roman" w:cs="Times New Roman"/>
          <w:sz w:val="24"/>
          <w:szCs w:val="24"/>
        </w:rPr>
        <w:t>8</w:t>
      </w:r>
      <w:r w:rsidRPr="00906EA7">
        <w:rPr>
          <w:rFonts w:ascii="Times New Roman" w:hAnsi="Times New Roman" w:cs="Times New Roman"/>
          <w:sz w:val="24"/>
          <w:szCs w:val="24"/>
        </w:rPr>
        <w:t xml:space="preserve"> года, ситуация незначительно улучшилась в части сокращения численности выбывающих, но при этом сократилась численность и прибывающих на территорию.</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Высокая миграционная подвижность наблюдается среди граждан трудоспособного возраста, который  приводит к потере количества трудовых ресурсов города и «старению» населения. Помимо этого, мотивированные желанием получить высшее образование в высших учебных заведениях за пределами городского округа</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выпускники старших классов также покидают территорию и после получения диплома редко возвращаются в родной город. </w:t>
      </w:r>
      <w:r w:rsidR="00814527" w:rsidRPr="00906EA7">
        <w:rPr>
          <w:rFonts w:ascii="Times New Roman" w:eastAsia="Times New Roman" w:hAnsi="Times New Roman" w:cs="Times New Roman"/>
          <w:sz w:val="24"/>
          <w:szCs w:val="24"/>
          <w:lang w:eastAsia="ru-RU"/>
        </w:rPr>
        <w:t>Т</w:t>
      </w:r>
      <w:r w:rsidRPr="00906EA7">
        <w:rPr>
          <w:rFonts w:ascii="Times New Roman" w:eastAsia="Times New Roman" w:hAnsi="Times New Roman" w:cs="Times New Roman"/>
          <w:sz w:val="24"/>
          <w:szCs w:val="24"/>
          <w:lang w:eastAsia="ru-RU"/>
        </w:rPr>
        <w:t xml:space="preserve">акже по достижению трудового стажа подавляющее большинство жителей стремится переехать в регионы с более благоприятными природно-климатическими условиями. </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Абсолютный отрицательный максимум в -1148 человек наблюдался в 2011 году, но доста</w:t>
      </w:r>
      <w:r w:rsidR="00112A99">
        <w:rPr>
          <w:rFonts w:ascii="Times New Roman" w:eastAsia="Times New Roman" w:hAnsi="Times New Roman" w:cs="Times New Roman"/>
          <w:sz w:val="24"/>
          <w:szCs w:val="24"/>
          <w:lang w:eastAsia="ru-RU"/>
        </w:rPr>
        <w:t>точно высокие показатели сохраня</w:t>
      </w:r>
      <w:r w:rsidRPr="00906EA7">
        <w:rPr>
          <w:rFonts w:ascii="Times New Roman" w:eastAsia="Times New Roman" w:hAnsi="Times New Roman" w:cs="Times New Roman"/>
          <w:sz w:val="24"/>
          <w:szCs w:val="24"/>
          <w:lang w:eastAsia="ru-RU"/>
        </w:rPr>
        <w:t xml:space="preserve">лись </w:t>
      </w:r>
      <w:r w:rsidRPr="00906EA7">
        <w:rPr>
          <w:rFonts w:ascii="Times New Roman" w:eastAsia="Calibri Light" w:hAnsi="Times New Roman" w:cs="Times New Roman"/>
          <w:sz w:val="24"/>
          <w:szCs w:val="24"/>
        </w:rPr>
        <w:t>в 2012, 2015, 2016 годах и в чуть меньшей мере сохраняются и в 2017-201</w:t>
      </w:r>
      <w:r w:rsidR="000F26B0"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годах.</w:t>
      </w:r>
      <w:r w:rsidRPr="00906EA7">
        <w:rPr>
          <w:rFonts w:ascii="Times New Roman" w:eastAsia="Times New Roman" w:hAnsi="Times New Roman" w:cs="Times New Roman"/>
          <w:sz w:val="24"/>
          <w:szCs w:val="24"/>
          <w:lang w:eastAsia="ru-RU"/>
        </w:rPr>
        <w:t xml:space="preserve">  </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Times New Roman" w:hAnsi="Times New Roman" w:cs="Times New Roman"/>
          <w:sz w:val="24"/>
          <w:szCs w:val="24"/>
          <w:lang w:eastAsia="ru-RU"/>
        </w:rPr>
        <w:t>Итог миграционного движения населения 201</w:t>
      </w:r>
      <w:r w:rsidR="000F26B0"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года, который</w:t>
      </w:r>
      <w:r w:rsidRPr="00906EA7">
        <w:rPr>
          <w:rFonts w:ascii="Times New Roman" w:eastAsia="Calibri Light" w:hAnsi="Times New Roman" w:cs="Times New Roman"/>
          <w:sz w:val="24"/>
          <w:szCs w:val="24"/>
        </w:rPr>
        <w:t xml:space="preserve"> по сравнению с показателем 20</w:t>
      </w:r>
      <w:r w:rsidR="005B52E1" w:rsidRPr="00906EA7">
        <w:rPr>
          <w:rFonts w:ascii="Times New Roman" w:eastAsia="Calibri Light" w:hAnsi="Times New Roman" w:cs="Times New Roman"/>
          <w:sz w:val="24"/>
          <w:szCs w:val="24"/>
        </w:rPr>
        <w:t>1</w:t>
      </w:r>
      <w:r w:rsidR="000F26B0" w:rsidRPr="00906EA7">
        <w:rPr>
          <w:rFonts w:ascii="Times New Roman" w:eastAsia="Calibri Light" w:hAnsi="Times New Roman" w:cs="Times New Roman"/>
          <w:sz w:val="24"/>
          <w:szCs w:val="24"/>
        </w:rPr>
        <w:t>8</w:t>
      </w:r>
      <w:r w:rsidR="005B52E1" w:rsidRPr="00906EA7">
        <w:rPr>
          <w:rFonts w:ascii="Times New Roman" w:eastAsia="Calibri Light" w:hAnsi="Times New Roman" w:cs="Times New Roman"/>
          <w:sz w:val="24"/>
          <w:szCs w:val="24"/>
        </w:rPr>
        <w:t xml:space="preserve"> года, хоть и снизился на </w:t>
      </w:r>
      <w:r w:rsidR="000F26B0" w:rsidRPr="00906EA7">
        <w:rPr>
          <w:rFonts w:ascii="Times New Roman" w:eastAsia="Calibri Light" w:hAnsi="Times New Roman" w:cs="Times New Roman"/>
          <w:sz w:val="24"/>
          <w:szCs w:val="24"/>
        </w:rPr>
        <w:t>11,4</w:t>
      </w:r>
      <w:r w:rsidRPr="00906EA7">
        <w:rPr>
          <w:rFonts w:ascii="Times New Roman" w:eastAsia="Calibri Light" w:hAnsi="Times New Roman" w:cs="Times New Roman"/>
          <w:sz w:val="24"/>
          <w:szCs w:val="24"/>
        </w:rPr>
        <w:t>%, имеет достаточно высокое значение, -</w:t>
      </w:r>
      <w:r w:rsidR="000F26B0" w:rsidRPr="00906EA7">
        <w:rPr>
          <w:rFonts w:ascii="Times New Roman" w:eastAsia="Calibri Light" w:hAnsi="Times New Roman" w:cs="Times New Roman"/>
          <w:sz w:val="24"/>
          <w:szCs w:val="24"/>
        </w:rPr>
        <w:t>654</w:t>
      </w:r>
      <w:r w:rsidRPr="00906EA7">
        <w:rPr>
          <w:rFonts w:ascii="Times New Roman" w:eastAsia="Calibri Light" w:hAnsi="Times New Roman" w:cs="Times New Roman"/>
          <w:sz w:val="24"/>
          <w:szCs w:val="24"/>
        </w:rPr>
        <w:t xml:space="preserve"> человек</w:t>
      </w:r>
      <w:r w:rsidR="000F26B0" w:rsidRPr="00906EA7">
        <w:rPr>
          <w:rFonts w:ascii="Times New Roman" w:eastAsia="Calibri Light" w:hAnsi="Times New Roman" w:cs="Times New Roman"/>
          <w:sz w:val="24"/>
          <w:szCs w:val="24"/>
        </w:rPr>
        <w:t>а</w:t>
      </w:r>
      <w:r w:rsidRPr="00906EA7">
        <w:rPr>
          <w:rFonts w:ascii="Times New Roman" w:eastAsia="Calibri Light" w:hAnsi="Times New Roman" w:cs="Times New Roman"/>
          <w:sz w:val="24"/>
          <w:szCs w:val="24"/>
        </w:rPr>
        <w:t xml:space="preserve"> (-</w:t>
      </w:r>
      <w:r w:rsidR="000F26B0" w:rsidRPr="00906EA7">
        <w:rPr>
          <w:rFonts w:ascii="Times New Roman" w:eastAsia="Calibri Light" w:hAnsi="Times New Roman" w:cs="Times New Roman"/>
          <w:sz w:val="24"/>
          <w:szCs w:val="24"/>
        </w:rPr>
        <w:t>738</w:t>
      </w:r>
      <w:r w:rsidRPr="00906EA7">
        <w:rPr>
          <w:rFonts w:ascii="Times New Roman" w:eastAsia="Calibri Light" w:hAnsi="Times New Roman" w:cs="Times New Roman"/>
          <w:sz w:val="24"/>
          <w:szCs w:val="24"/>
        </w:rPr>
        <w:t xml:space="preserve"> человек за 201</w:t>
      </w:r>
      <w:r w:rsidR="000F26B0" w:rsidRPr="00906EA7">
        <w:rPr>
          <w:rFonts w:ascii="Times New Roman" w:eastAsia="Calibri Light" w:hAnsi="Times New Roman" w:cs="Times New Roman"/>
          <w:sz w:val="24"/>
          <w:szCs w:val="24"/>
        </w:rPr>
        <w:t>8</w:t>
      </w:r>
      <w:r w:rsidRPr="00906EA7">
        <w:rPr>
          <w:rFonts w:ascii="Times New Roman" w:eastAsia="Calibri Light" w:hAnsi="Times New Roman" w:cs="Times New Roman"/>
          <w:sz w:val="24"/>
          <w:szCs w:val="24"/>
        </w:rPr>
        <w:t xml:space="preserve"> год).</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Число лиц, вовлеченных в миграционные процессы, из года в год только сокращается: за 201</w:t>
      </w:r>
      <w:r w:rsidR="000F26B0"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 xml:space="preserve"> год число мигрантов составляло </w:t>
      </w:r>
      <w:r w:rsidR="000F26B0" w:rsidRPr="00906EA7">
        <w:rPr>
          <w:rFonts w:ascii="Times New Roman" w:eastAsia="Times New Roman" w:hAnsi="Times New Roman" w:cs="Times New Roman"/>
          <w:sz w:val="24"/>
          <w:szCs w:val="24"/>
          <w:lang w:eastAsia="ru-RU"/>
        </w:rPr>
        <w:t>4513</w:t>
      </w:r>
      <w:r w:rsidRPr="00906EA7">
        <w:rPr>
          <w:rFonts w:ascii="Times New Roman" w:eastAsia="Times New Roman" w:hAnsi="Times New Roman" w:cs="Times New Roman"/>
          <w:sz w:val="24"/>
          <w:szCs w:val="24"/>
          <w:lang w:eastAsia="ru-RU"/>
        </w:rPr>
        <w:t xml:space="preserve"> человек, за 201</w:t>
      </w:r>
      <w:r w:rsidR="000F26B0"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 </w:t>
      </w:r>
      <w:r w:rsidR="000F26B0" w:rsidRPr="00906EA7">
        <w:rPr>
          <w:rFonts w:ascii="Times New Roman" w:eastAsia="Times New Roman" w:hAnsi="Times New Roman" w:cs="Times New Roman"/>
          <w:sz w:val="24"/>
          <w:szCs w:val="24"/>
          <w:lang w:eastAsia="ru-RU"/>
        </w:rPr>
        <w:t>4506</w:t>
      </w:r>
      <w:r w:rsidRPr="00906EA7">
        <w:rPr>
          <w:rFonts w:ascii="Times New Roman" w:eastAsia="Times New Roman" w:hAnsi="Times New Roman" w:cs="Times New Roman"/>
          <w:sz w:val="24"/>
          <w:szCs w:val="24"/>
          <w:lang w:eastAsia="ru-RU"/>
        </w:rPr>
        <w:t xml:space="preserve"> человек, за 201</w:t>
      </w:r>
      <w:r w:rsidR="000F26B0"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w:t>
      </w:r>
      <w:r w:rsidR="000F26B0" w:rsidRPr="00906EA7">
        <w:rPr>
          <w:rFonts w:ascii="Times New Roman" w:eastAsia="Times New Roman" w:hAnsi="Times New Roman" w:cs="Times New Roman"/>
          <w:sz w:val="24"/>
          <w:szCs w:val="24"/>
          <w:lang w:eastAsia="ru-RU"/>
        </w:rPr>
        <w:t>3426</w:t>
      </w:r>
      <w:r w:rsidRPr="00906EA7">
        <w:rPr>
          <w:rFonts w:ascii="Times New Roman" w:eastAsia="Times New Roman" w:hAnsi="Times New Roman" w:cs="Times New Roman"/>
          <w:sz w:val="24"/>
          <w:szCs w:val="24"/>
          <w:lang w:eastAsia="ru-RU"/>
        </w:rPr>
        <w:t xml:space="preserve"> 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же </w:t>
      </w:r>
      <w:r w:rsidR="000F26B0" w:rsidRPr="00906EA7">
        <w:rPr>
          <w:rFonts w:ascii="Times New Roman" w:eastAsia="Times New Roman" w:hAnsi="Times New Roman" w:cs="Times New Roman"/>
          <w:sz w:val="24"/>
          <w:szCs w:val="24"/>
          <w:lang w:eastAsia="ru-RU"/>
        </w:rPr>
        <w:t>76</w:t>
      </w:r>
      <w:r w:rsidRPr="00906EA7">
        <w:rPr>
          <w:rFonts w:ascii="Times New Roman" w:eastAsia="Times New Roman" w:hAnsi="Times New Roman" w:cs="Times New Roman"/>
          <w:sz w:val="24"/>
          <w:szCs w:val="24"/>
          <w:lang w:eastAsia="ru-RU"/>
        </w:rPr>
        <w:t>% к показателю 201</w:t>
      </w:r>
      <w:r w:rsidR="000F26B0"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года. </w:t>
      </w:r>
    </w:p>
    <w:p w:rsidR="00717824" w:rsidRPr="00906EA7" w:rsidRDefault="00717824"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Times New Roman" w:hAnsi="Times New Roman" w:cs="Times New Roman"/>
          <w:sz w:val="24"/>
          <w:szCs w:val="24"/>
          <w:lang w:eastAsia="ru-RU"/>
        </w:rPr>
        <w:t>При этом и</w:t>
      </w:r>
      <w:r w:rsidRPr="00906EA7">
        <w:rPr>
          <w:rFonts w:ascii="Times New Roman" w:eastAsia="Calibri" w:hAnsi="Times New Roman" w:cs="Times New Roman"/>
          <w:sz w:val="24"/>
          <w:szCs w:val="24"/>
        </w:rPr>
        <w:t>сходящая миграция превышает входящую на 48,8% в 2017 году</w:t>
      </w:r>
      <w:r w:rsidR="000F26B0" w:rsidRPr="00906EA7">
        <w:rPr>
          <w:rFonts w:ascii="Times New Roman" w:eastAsia="Calibri" w:hAnsi="Times New Roman" w:cs="Times New Roman"/>
          <w:sz w:val="24"/>
          <w:szCs w:val="24"/>
        </w:rPr>
        <w:t>,</w:t>
      </w:r>
      <w:r w:rsidRPr="00906EA7">
        <w:rPr>
          <w:rFonts w:ascii="Times New Roman" w:eastAsia="Calibri" w:hAnsi="Times New Roman" w:cs="Times New Roman"/>
          <w:sz w:val="24"/>
          <w:szCs w:val="24"/>
        </w:rPr>
        <w:t xml:space="preserve">  </w:t>
      </w:r>
      <w:r w:rsidR="000F26B0" w:rsidRPr="00906EA7">
        <w:rPr>
          <w:rFonts w:ascii="Times New Roman" w:eastAsia="Calibri" w:hAnsi="Times New Roman" w:cs="Times New Roman"/>
          <w:sz w:val="24"/>
          <w:szCs w:val="24"/>
        </w:rPr>
        <w:t>41,3</w:t>
      </w:r>
      <w:r w:rsidRPr="00906EA7">
        <w:rPr>
          <w:rFonts w:ascii="Times New Roman" w:eastAsia="Calibri" w:hAnsi="Times New Roman" w:cs="Times New Roman"/>
          <w:sz w:val="24"/>
          <w:szCs w:val="24"/>
        </w:rPr>
        <w:t>% в 2018 году</w:t>
      </w:r>
      <w:r w:rsidR="00E25B89" w:rsidRPr="00906EA7">
        <w:rPr>
          <w:rFonts w:ascii="Times New Roman" w:eastAsia="Calibri" w:hAnsi="Times New Roman" w:cs="Times New Roman"/>
          <w:sz w:val="24"/>
          <w:szCs w:val="24"/>
        </w:rPr>
        <w:t xml:space="preserve"> и 47,2% в 2019 году</w:t>
      </w:r>
      <w:r w:rsidRPr="00906EA7">
        <w:rPr>
          <w:rFonts w:ascii="Times New Roman" w:eastAsia="Calibri" w:hAnsi="Times New Roman" w:cs="Times New Roman"/>
          <w:sz w:val="24"/>
          <w:szCs w:val="24"/>
        </w:rPr>
        <w:t xml:space="preserve">. </w:t>
      </w:r>
      <w:bookmarkStart w:id="0" w:name="_GoBack"/>
      <w:bookmarkEnd w:id="0"/>
    </w:p>
    <w:p w:rsidR="00717824" w:rsidRPr="00906EA7" w:rsidRDefault="00717824"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Иностранный миграционный процесс также имеет значительные показатели, в 201</w:t>
      </w:r>
      <w:r w:rsidR="003727CD"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году поучаствовало</w:t>
      </w:r>
      <w:r w:rsidR="00012CD4" w:rsidRPr="00906EA7">
        <w:rPr>
          <w:rFonts w:ascii="Times New Roman" w:eastAsia="Calibri Light" w:hAnsi="Times New Roman" w:cs="Times New Roman"/>
          <w:sz w:val="24"/>
          <w:szCs w:val="24"/>
        </w:rPr>
        <w:t xml:space="preserve"> 4265</w:t>
      </w:r>
      <w:r w:rsidRPr="00906EA7">
        <w:rPr>
          <w:rFonts w:ascii="Times New Roman" w:eastAsia="Calibri Light" w:hAnsi="Times New Roman" w:cs="Times New Roman"/>
          <w:sz w:val="24"/>
          <w:szCs w:val="24"/>
        </w:rPr>
        <w:t xml:space="preserve"> иностранцев против </w:t>
      </w:r>
      <w:r w:rsidR="00012CD4" w:rsidRPr="00906EA7">
        <w:rPr>
          <w:rFonts w:ascii="Times New Roman" w:eastAsia="Calibri Light" w:hAnsi="Times New Roman" w:cs="Times New Roman"/>
          <w:sz w:val="24"/>
          <w:szCs w:val="24"/>
        </w:rPr>
        <w:t xml:space="preserve">4319 </w:t>
      </w:r>
      <w:r w:rsidRPr="00906EA7">
        <w:rPr>
          <w:rFonts w:ascii="Times New Roman" w:eastAsia="Calibri Light" w:hAnsi="Times New Roman" w:cs="Times New Roman"/>
          <w:sz w:val="24"/>
          <w:szCs w:val="24"/>
        </w:rPr>
        <w:t>в 201</w:t>
      </w:r>
      <w:r w:rsidR="00012CD4" w:rsidRPr="00906EA7">
        <w:rPr>
          <w:rFonts w:ascii="Times New Roman" w:eastAsia="Calibri Light" w:hAnsi="Times New Roman" w:cs="Times New Roman"/>
          <w:sz w:val="24"/>
          <w:szCs w:val="24"/>
        </w:rPr>
        <w:t>8</w:t>
      </w:r>
      <w:r w:rsidRPr="00906EA7">
        <w:rPr>
          <w:rFonts w:ascii="Times New Roman" w:eastAsia="Calibri Light" w:hAnsi="Times New Roman" w:cs="Times New Roman"/>
          <w:sz w:val="24"/>
          <w:szCs w:val="24"/>
        </w:rPr>
        <w:t xml:space="preserve"> году.  </w:t>
      </w:r>
    </w:p>
    <w:p w:rsidR="00C25503" w:rsidRPr="00906EA7" w:rsidRDefault="00C25503"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Бракоразводный процесс</w:t>
      </w:r>
    </w:p>
    <w:p w:rsidR="00C25503" w:rsidRPr="00906EA7" w:rsidRDefault="00C25503"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Еще одним аспектом демографической ситуации является бракоразводный процесс.  </w:t>
      </w:r>
    </w:p>
    <w:p w:rsidR="00717824" w:rsidRPr="00906EA7" w:rsidRDefault="00FA7ADA"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предварительным данным з</w:t>
      </w:r>
      <w:r w:rsidR="00717824" w:rsidRPr="00906EA7">
        <w:rPr>
          <w:rFonts w:ascii="Times New Roman" w:eastAsia="Times New Roman" w:hAnsi="Times New Roman" w:cs="Times New Roman"/>
          <w:sz w:val="24"/>
          <w:szCs w:val="24"/>
          <w:lang w:eastAsia="ru-RU"/>
        </w:rPr>
        <w:t>а 201</w:t>
      </w:r>
      <w:r w:rsidR="006A538F" w:rsidRPr="00906EA7">
        <w:rPr>
          <w:rFonts w:ascii="Times New Roman" w:eastAsia="Times New Roman" w:hAnsi="Times New Roman" w:cs="Times New Roman"/>
          <w:sz w:val="24"/>
          <w:szCs w:val="24"/>
          <w:lang w:eastAsia="ru-RU"/>
        </w:rPr>
        <w:t>9</w:t>
      </w:r>
      <w:r w:rsidR="00717824" w:rsidRPr="00906EA7">
        <w:rPr>
          <w:rFonts w:ascii="Times New Roman" w:eastAsia="Times New Roman" w:hAnsi="Times New Roman" w:cs="Times New Roman"/>
          <w:sz w:val="24"/>
          <w:szCs w:val="24"/>
          <w:lang w:eastAsia="ru-RU"/>
        </w:rPr>
        <w:t xml:space="preserve"> год количество браков  </w:t>
      </w:r>
      <w:r w:rsidR="00806788" w:rsidRPr="00906EA7">
        <w:rPr>
          <w:rFonts w:ascii="Times New Roman" w:eastAsia="Times New Roman" w:hAnsi="Times New Roman" w:cs="Times New Roman"/>
          <w:sz w:val="24"/>
          <w:szCs w:val="24"/>
          <w:lang w:eastAsia="ru-RU"/>
        </w:rPr>
        <w:t>снизилось</w:t>
      </w:r>
      <w:r w:rsidR="00717824" w:rsidRPr="00906EA7">
        <w:rPr>
          <w:rFonts w:ascii="Times New Roman" w:eastAsia="Times New Roman" w:hAnsi="Times New Roman" w:cs="Times New Roman"/>
          <w:sz w:val="24"/>
          <w:szCs w:val="24"/>
          <w:lang w:eastAsia="ru-RU"/>
        </w:rPr>
        <w:t xml:space="preserve"> на </w:t>
      </w:r>
      <w:r w:rsidR="00806788" w:rsidRPr="00906EA7">
        <w:rPr>
          <w:rFonts w:ascii="Times New Roman" w:eastAsia="Times New Roman" w:hAnsi="Times New Roman" w:cs="Times New Roman"/>
          <w:sz w:val="24"/>
          <w:szCs w:val="24"/>
          <w:lang w:eastAsia="ru-RU"/>
        </w:rPr>
        <w:t>29</w:t>
      </w:r>
      <w:r w:rsidR="00717824" w:rsidRPr="00906EA7">
        <w:rPr>
          <w:rFonts w:ascii="Times New Roman" w:eastAsia="Times New Roman" w:hAnsi="Times New Roman" w:cs="Times New Roman"/>
          <w:sz w:val="24"/>
          <w:szCs w:val="24"/>
          <w:lang w:eastAsia="ru-RU"/>
        </w:rPr>
        <w:t xml:space="preserve"> единиц </w:t>
      </w:r>
      <w:r w:rsidR="004A05D9" w:rsidRPr="00906EA7">
        <w:rPr>
          <w:rFonts w:ascii="Times New Roman" w:eastAsia="Times New Roman" w:hAnsi="Times New Roman" w:cs="Times New Roman"/>
          <w:sz w:val="24"/>
          <w:szCs w:val="24"/>
          <w:lang w:eastAsia="ru-RU"/>
        </w:rPr>
        <w:t xml:space="preserve">(7,8%) </w:t>
      </w:r>
      <w:r w:rsidR="00717824" w:rsidRPr="00906EA7">
        <w:rPr>
          <w:rFonts w:ascii="Times New Roman" w:eastAsia="Times New Roman" w:hAnsi="Times New Roman" w:cs="Times New Roman"/>
          <w:sz w:val="24"/>
          <w:szCs w:val="24"/>
          <w:lang w:eastAsia="ru-RU"/>
        </w:rPr>
        <w:t xml:space="preserve">при одновременном </w:t>
      </w:r>
      <w:r w:rsidR="00806788" w:rsidRPr="00906EA7">
        <w:rPr>
          <w:rFonts w:ascii="Times New Roman" w:eastAsia="Times New Roman" w:hAnsi="Times New Roman" w:cs="Times New Roman"/>
          <w:sz w:val="24"/>
          <w:szCs w:val="24"/>
          <w:lang w:eastAsia="ru-RU"/>
        </w:rPr>
        <w:t>снижении</w:t>
      </w:r>
      <w:r w:rsidR="00717824" w:rsidRPr="00906EA7">
        <w:rPr>
          <w:rFonts w:ascii="Times New Roman" w:eastAsia="Times New Roman" w:hAnsi="Times New Roman" w:cs="Times New Roman"/>
          <w:sz w:val="24"/>
          <w:szCs w:val="24"/>
          <w:lang w:eastAsia="ru-RU"/>
        </w:rPr>
        <w:t xml:space="preserve"> количества разводов на </w:t>
      </w:r>
      <w:r w:rsidR="00806788" w:rsidRPr="00906EA7">
        <w:rPr>
          <w:rFonts w:ascii="Times New Roman" w:eastAsia="Times New Roman" w:hAnsi="Times New Roman" w:cs="Times New Roman"/>
          <w:sz w:val="24"/>
          <w:szCs w:val="24"/>
          <w:lang w:eastAsia="ru-RU"/>
        </w:rPr>
        <w:t>10</w:t>
      </w:r>
      <w:r w:rsidR="00717824" w:rsidRPr="00906EA7">
        <w:rPr>
          <w:rFonts w:ascii="Times New Roman" w:eastAsia="Times New Roman" w:hAnsi="Times New Roman" w:cs="Times New Roman"/>
          <w:sz w:val="24"/>
          <w:szCs w:val="24"/>
          <w:lang w:eastAsia="ru-RU"/>
        </w:rPr>
        <w:t xml:space="preserve"> единиц</w:t>
      </w:r>
      <w:r w:rsidR="004A05D9" w:rsidRPr="00906EA7">
        <w:rPr>
          <w:rFonts w:ascii="Times New Roman" w:eastAsia="Times New Roman" w:hAnsi="Times New Roman" w:cs="Times New Roman"/>
          <w:sz w:val="24"/>
          <w:szCs w:val="24"/>
          <w:lang w:eastAsia="ru-RU"/>
        </w:rPr>
        <w:t xml:space="preserve"> (3,1%)</w:t>
      </w:r>
      <w:r w:rsidR="00717824" w:rsidRPr="00906EA7">
        <w:rPr>
          <w:rFonts w:ascii="Times New Roman" w:eastAsia="Times New Roman" w:hAnsi="Times New Roman" w:cs="Times New Roman"/>
          <w:sz w:val="24"/>
          <w:szCs w:val="24"/>
          <w:lang w:eastAsia="ru-RU"/>
        </w:rPr>
        <w:t>.</w:t>
      </w:r>
    </w:p>
    <w:p w:rsidR="00717824" w:rsidRPr="00906EA7" w:rsidRDefault="00717824"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При этом на </w:t>
      </w:r>
      <w:r w:rsidR="00F37069" w:rsidRPr="00906EA7">
        <w:rPr>
          <w:rFonts w:ascii="Times New Roman" w:eastAsia="Times New Roman" w:hAnsi="Times New Roman" w:cs="Times New Roman"/>
          <w:sz w:val="24"/>
          <w:szCs w:val="24"/>
          <w:lang w:eastAsia="ru-RU"/>
        </w:rPr>
        <w:t>0,1</w:t>
      </w:r>
      <w:r w:rsidRPr="00906EA7">
        <w:rPr>
          <w:rFonts w:ascii="Times New Roman" w:eastAsia="Times New Roman" w:hAnsi="Times New Roman" w:cs="Times New Roman"/>
          <w:sz w:val="24"/>
          <w:szCs w:val="24"/>
          <w:lang w:eastAsia="ru-RU"/>
        </w:rPr>
        <w:t xml:space="preserve"> процентны</w:t>
      </w:r>
      <w:r w:rsidR="004A05D9" w:rsidRPr="00906EA7">
        <w:rPr>
          <w:rFonts w:ascii="Times New Roman" w:eastAsia="Times New Roman" w:hAnsi="Times New Roman" w:cs="Times New Roman"/>
          <w:sz w:val="24"/>
          <w:szCs w:val="24"/>
          <w:lang w:eastAsia="ru-RU"/>
        </w:rPr>
        <w:t>х</w:t>
      </w:r>
      <w:r w:rsidRPr="00906EA7">
        <w:rPr>
          <w:rFonts w:ascii="Times New Roman" w:eastAsia="Times New Roman" w:hAnsi="Times New Roman" w:cs="Times New Roman"/>
          <w:sz w:val="24"/>
          <w:szCs w:val="24"/>
          <w:lang w:eastAsia="ru-RU"/>
        </w:rPr>
        <w:t xml:space="preserve"> пункта </w:t>
      </w:r>
      <w:r w:rsidR="00802530" w:rsidRPr="00906EA7">
        <w:rPr>
          <w:rFonts w:ascii="Times New Roman" w:eastAsia="Times New Roman" w:hAnsi="Times New Roman" w:cs="Times New Roman"/>
          <w:sz w:val="24"/>
          <w:szCs w:val="24"/>
          <w:lang w:eastAsia="ru-RU"/>
        </w:rPr>
        <w:t>снизилось</w:t>
      </w:r>
      <w:r w:rsidRPr="00906EA7">
        <w:rPr>
          <w:rFonts w:ascii="Times New Roman" w:eastAsia="Times New Roman" w:hAnsi="Times New Roman" w:cs="Times New Roman"/>
          <w:sz w:val="24"/>
          <w:szCs w:val="24"/>
          <w:lang w:eastAsia="ru-RU"/>
        </w:rPr>
        <w:t xml:space="preserve"> число разводов и на 0,</w:t>
      </w:r>
      <w:r w:rsidR="00F37069" w:rsidRPr="00906EA7">
        <w:rPr>
          <w:rFonts w:ascii="Times New Roman" w:eastAsia="Times New Roman" w:hAnsi="Times New Roman" w:cs="Times New Roman"/>
          <w:sz w:val="24"/>
          <w:szCs w:val="24"/>
          <w:lang w:eastAsia="ru-RU"/>
        </w:rPr>
        <w:t>5</w:t>
      </w:r>
      <w:r w:rsidRPr="00906EA7">
        <w:rPr>
          <w:rFonts w:ascii="Times New Roman" w:eastAsia="Times New Roman" w:hAnsi="Times New Roman" w:cs="Times New Roman"/>
          <w:sz w:val="24"/>
          <w:szCs w:val="24"/>
          <w:lang w:eastAsia="ru-RU"/>
        </w:rPr>
        <w:t xml:space="preserve"> процентных пункта число браков на 1000 жителей.</w:t>
      </w:r>
    </w:p>
    <w:p w:rsidR="00717824" w:rsidRPr="00906EA7" w:rsidRDefault="00717824" w:rsidP="0097253F">
      <w:pPr>
        <w:spacing w:after="0" w:line="240" w:lineRule="auto"/>
        <w:ind w:firstLine="708"/>
        <w:jc w:val="both"/>
        <w:rPr>
          <w:rFonts w:ascii="Times New Roman" w:eastAsia="Times New Roman" w:hAnsi="Times New Roman" w:cs="Times New Roman"/>
          <w:sz w:val="24"/>
          <w:szCs w:val="24"/>
          <w:lang w:eastAsia="ru-RU"/>
        </w:rPr>
      </w:pPr>
    </w:p>
    <w:tbl>
      <w:tblPr>
        <w:tblStyle w:val="4"/>
        <w:tblW w:w="0" w:type="auto"/>
        <w:tblInd w:w="108" w:type="dxa"/>
        <w:tblLook w:val="04A0" w:firstRow="1" w:lastRow="0" w:firstColumn="1" w:lastColumn="0" w:noHBand="0" w:noVBand="1"/>
      </w:tblPr>
      <w:tblGrid>
        <w:gridCol w:w="5197"/>
        <w:gridCol w:w="1432"/>
        <w:gridCol w:w="1432"/>
        <w:gridCol w:w="1590"/>
      </w:tblGrid>
      <w:tr w:rsidR="00A80645" w:rsidRPr="00906EA7" w:rsidTr="004A7396">
        <w:trPr>
          <w:trHeight w:val="373"/>
          <w:tblHeader/>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0"/>
                <w:szCs w:val="20"/>
              </w:rPr>
            </w:pPr>
            <w:r w:rsidRPr="00906EA7">
              <w:rPr>
                <w:rFonts w:ascii="Times New Roman" w:eastAsia="Calibri" w:hAnsi="Times New Roman"/>
                <w:sz w:val="20"/>
                <w:szCs w:val="20"/>
              </w:rPr>
              <w:t>Показатели</w:t>
            </w:r>
          </w:p>
        </w:tc>
        <w:tc>
          <w:tcPr>
            <w:tcW w:w="1432"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0"/>
                <w:szCs w:val="20"/>
              </w:rPr>
            </w:pPr>
            <w:r w:rsidRPr="00906EA7">
              <w:rPr>
                <w:rFonts w:ascii="Times New Roman" w:eastAsia="Calibri" w:hAnsi="Times New Roman"/>
                <w:sz w:val="20"/>
                <w:szCs w:val="20"/>
              </w:rPr>
              <w:t>2017 год</w:t>
            </w:r>
          </w:p>
        </w:tc>
        <w:tc>
          <w:tcPr>
            <w:tcW w:w="1432"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0"/>
                <w:szCs w:val="20"/>
              </w:rPr>
            </w:pPr>
            <w:r w:rsidRPr="00906EA7">
              <w:rPr>
                <w:rFonts w:ascii="Times New Roman" w:eastAsia="Calibri" w:hAnsi="Times New Roman"/>
                <w:sz w:val="20"/>
                <w:szCs w:val="20"/>
              </w:rPr>
              <w:t xml:space="preserve">2018 год </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0"/>
                <w:szCs w:val="20"/>
              </w:rPr>
            </w:pPr>
            <w:r w:rsidRPr="00906EA7">
              <w:rPr>
                <w:rFonts w:ascii="Times New Roman" w:eastAsia="Calibri" w:hAnsi="Times New Roman"/>
                <w:sz w:val="20"/>
                <w:szCs w:val="20"/>
              </w:rPr>
              <w:t>2019 год оценка</w:t>
            </w:r>
          </w:p>
        </w:tc>
      </w:tr>
      <w:tr w:rsidR="00A80645" w:rsidRPr="00906EA7" w:rsidTr="002B7111">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Численность населения среднегодовая, человек</w:t>
            </w:r>
          </w:p>
        </w:tc>
        <w:tc>
          <w:tcPr>
            <w:tcW w:w="1432"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54960</w:t>
            </w:r>
          </w:p>
        </w:tc>
        <w:tc>
          <w:tcPr>
            <w:tcW w:w="1432"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54434</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041A4E" w:rsidP="0097253F">
            <w:pPr>
              <w:jc w:val="center"/>
              <w:rPr>
                <w:rFonts w:ascii="Times New Roman" w:eastAsia="Calibri" w:hAnsi="Times New Roman"/>
                <w:sz w:val="24"/>
                <w:szCs w:val="24"/>
              </w:rPr>
            </w:pPr>
            <w:r w:rsidRPr="00906EA7">
              <w:rPr>
                <w:rFonts w:ascii="Times New Roman" w:eastAsia="Calibri" w:hAnsi="Times New Roman"/>
                <w:sz w:val="24"/>
                <w:szCs w:val="24"/>
              </w:rPr>
              <w:t>53994</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официально заключенных браков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439</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371</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6A538F" w:rsidP="0097253F">
            <w:pPr>
              <w:jc w:val="center"/>
              <w:rPr>
                <w:rFonts w:ascii="Times New Roman" w:eastAsia="Calibri" w:hAnsi="Times New Roman"/>
                <w:sz w:val="24"/>
                <w:szCs w:val="24"/>
              </w:rPr>
            </w:pPr>
            <w:r w:rsidRPr="00906EA7">
              <w:rPr>
                <w:rFonts w:ascii="Times New Roman" w:eastAsia="Calibri" w:hAnsi="Times New Roman"/>
                <w:sz w:val="24"/>
                <w:szCs w:val="24"/>
              </w:rPr>
              <w:t>342</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официально оформленных разводов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342</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323</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6A538F" w:rsidP="0097253F">
            <w:pPr>
              <w:jc w:val="center"/>
              <w:rPr>
                <w:rFonts w:ascii="Times New Roman" w:eastAsia="Calibri" w:hAnsi="Times New Roman"/>
                <w:sz w:val="24"/>
                <w:szCs w:val="24"/>
              </w:rPr>
            </w:pPr>
            <w:r w:rsidRPr="00906EA7">
              <w:rPr>
                <w:rFonts w:ascii="Times New Roman" w:eastAsia="Calibri" w:hAnsi="Times New Roman"/>
                <w:sz w:val="24"/>
                <w:szCs w:val="24"/>
              </w:rPr>
              <w:t>313</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разводов на 100 браков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78</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87</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CF4016" w:rsidP="0097253F">
            <w:pPr>
              <w:jc w:val="center"/>
              <w:rPr>
                <w:rFonts w:ascii="Times New Roman" w:eastAsia="Calibri" w:hAnsi="Times New Roman"/>
                <w:sz w:val="24"/>
                <w:szCs w:val="24"/>
              </w:rPr>
            </w:pPr>
            <w:r w:rsidRPr="00906EA7">
              <w:rPr>
                <w:rFonts w:ascii="Times New Roman" w:eastAsia="Calibri" w:hAnsi="Times New Roman"/>
                <w:sz w:val="24"/>
                <w:szCs w:val="24"/>
              </w:rPr>
              <w:t>91</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браков на 1000 жителей в среднегодовом исчислении</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8,0</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6,8</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CF4016" w:rsidP="0097253F">
            <w:pPr>
              <w:jc w:val="center"/>
              <w:rPr>
                <w:rFonts w:ascii="Times New Roman" w:eastAsia="Calibri" w:hAnsi="Times New Roman"/>
                <w:sz w:val="24"/>
                <w:szCs w:val="24"/>
              </w:rPr>
            </w:pPr>
            <w:r w:rsidRPr="00906EA7">
              <w:rPr>
                <w:rFonts w:ascii="Times New Roman" w:eastAsia="Calibri" w:hAnsi="Times New Roman"/>
                <w:sz w:val="24"/>
                <w:szCs w:val="24"/>
              </w:rPr>
              <w:t>6,3</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разводов на 1000 жителей</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6,2</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041A4E" w:rsidP="0097253F">
            <w:pPr>
              <w:jc w:val="center"/>
              <w:rPr>
                <w:rFonts w:ascii="Times New Roman" w:eastAsia="Calibri" w:hAnsi="Times New Roman"/>
                <w:sz w:val="24"/>
                <w:szCs w:val="24"/>
              </w:rPr>
            </w:pPr>
            <w:r w:rsidRPr="00906EA7">
              <w:rPr>
                <w:rFonts w:ascii="Times New Roman" w:eastAsia="Calibri" w:hAnsi="Times New Roman"/>
                <w:sz w:val="24"/>
                <w:szCs w:val="24"/>
              </w:rPr>
              <w:t>5,9</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CF4016" w:rsidP="0097253F">
            <w:pPr>
              <w:jc w:val="center"/>
              <w:rPr>
                <w:rFonts w:ascii="Times New Roman" w:eastAsia="Calibri" w:hAnsi="Times New Roman"/>
                <w:sz w:val="24"/>
                <w:szCs w:val="24"/>
              </w:rPr>
            </w:pPr>
            <w:r w:rsidRPr="00906EA7">
              <w:rPr>
                <w:rFonts w:ascii="Times New Roman" w:eastAsia="Calibri" w:hAnsi="Times New Roman"/>
                <w:sz w:val="24"/>
                <w:szCs w:val="24"/>
              </w:rPr>
              <w:t>5,8</w:t>
            </w:r>
          </w:p>
        </w:tc>
      </w:tr>
    </w:tbl>
    <w:p w:rsidR="00717824" w:rsidRPr="00906EA7" w:rsidRDefault="00717824" w:rsidP="0097253F">
      <w:pPr>
        <w:spacing w:after="0" w:line="240" w:lineRule="auto"/>
        <w:jc w:val="center"/>
        <w:rPr>
          <w:rFonts w:ascii="Times New Roman" w:eastAsia="Times New Roman" w:hAnsi="Times New Roman" w:cs="Times New Roman"/>
          <w:sz w:val="24"/>
          <w:szCs w:val="24"/>
          <w:lang w:eastAsia="ru-RU"/>
        </w:rPr>
      </w:pPr>
    </w:p>
    <w:p w:rsidR="005A2708" w:rsidRPr="00906EA7" w:rsidRDefault="005A2708" w:rsidP="0097253F">
      <w:pPr>
        <w:spacing w:after="0" w:line="240" w:lineRule="auto"/>
        <w:ind w:firstLine="708"/>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ПРОМЫШЛЕННОСТЬ</w:t>
      </w:r>
    </w:p>
    <w:p w:rsidR="00606F09" w:rsidRPr="00906EA7" w:rsidRDefault="00606F09" w:rsidP="0097253F">
      <w:pPr>
        <w:spacing w:after="0" w:line="240" w:lineRule="auto"/>
        <w:ind w:firstLine="709"/>
        <w:jc w:val="both"/>
        <w:rPr>
          <w:rFonts w:ascii="Times New Roman" w:eastAsia="Times New Roman" w:hAnsi="Times New Roman" w:cs="Times New Roman"/>
          <w:sz w:val="24"/>
          <w:szCs w:val="24"/>
          <w:lang w:eastAsia="ru-RU"/>
        </w:rPr>
      </w:pP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Промышленное производство городского округа город Мегион включает в себя следующие разделы (отрасли):</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добыча полезных ископаемых;</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обрабатывающие отрасли;</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деятельности по ликвидации загрязнений.</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2019 год 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составил 25 029,3 млн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что составляет 104,1% к показателю 2018 года. </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отгруженной промышленной продукции по полному кругу предприятий городского округа город Мегион за 2019 год составил 11 356,6 млн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113,8% к показателю 2018 года. </w:t>
      </w:r>
    </w:p>
    <w:p w:rsidR="007B27F0" w:rsidRPr="00906EA7" w:rsidRDefault="007B27F0" w:rsidP="006C207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r w:rsidR="006C207F" w:rsidRPr="00906EA7">
        <w:rPr>
          <w:rFonts w:ascii="Times New Roman" w:eastAsia="Times New Roman" w:hAnsi="Times New Roman" w:cs="Times New Roman"/>
          <w:sz w:val="24"/>
          <w:szCs w:val="24"/>
          <w:lang w:eastAsia="ru-RU"/>
        </w:rPr>
        <w:t>«Промышленность»</w:t>
      </w:r>
    </w:p>
    <w:p w:rsidR="007B27F0" w:rsidRPr="00906EA7" w:rsidRDefault="007B27F0" w:rsidP="0097253F">
      <w:pPr>
        <w:spacing w:after="0" w:line="240" w:lineRule="auto"/>
        <w:ind w:firstLine="708"/>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0"/>
          <w:szCs w:val="20"/>
          <w:lang w:eastAsia="ru-RU"/>
        </w:rPr>
        <w:t>млн руб</w:t>
      </w:r>
      <w:r w:rsidR="003E280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 xml:space="preserve"> </w:t>
      </w:r>
    </w:p>
    <w:tbl>
      <w:tblPr>
        <w:tblW w:w="9756" w:type="dxa"/>
        <w:tblLayout w:type="fixed"/>
        <w:tblLook w:val="01E0" w:firstRow="1" w:lastRow="1" w:firstColumn="1" w:lastColumn="1" w:noHBand="0" w:noVBand="0"/>
      </w:tblPr>
      <w:tblGrid>
        <w:gridCol w:w="5632"/>
        <w:gridCol w:w="1375"/>
        <w:gridCol w:w="1234"/>
        <w:gridCol w:w="1515"/>
      </w:tblGrid>
      <w:tr w:rsidR="007B27F0" w:rsidRPr="00906EA7" w:rsidTr="007B27F0">
        <w:trPr>
          <w:trHeight w:val="767"/>
          <w:tblHeader/>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Показатели</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Январь-декабрь </w:t>
            </w:r>
          </w:p>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года</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Январь-декабрь </w:t>
            </w:r>
          </w:p>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Темп  роста в действующих ценах, %</w:t>
            </w:r>
          </w:p>
        </w:tc>
      </w:tr>
      <w:tr w:rsidR="007B27F0" w:rsidRPr="00906EA7" w:rsidTr="007B27F0">
        <w:trPr>
          <w:trHeight w:val="1525"/>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Всего объем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9 981,6</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11 356,6</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113,8</w:t>
            </w:r>
          </w:p>
        </w:tc>
      </w:tr>
      <w:tr w:rsidR="007B27F0" w:rsidRPr="00906EA7" w:rsidTr="007B27F0">
        <w:trPr>
          <w:trHeight w:val="307"/>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в том числе по видам экономической деятельности:</w:t>
            </w:r>
          </w:p>
        </w:tc>
        <w:tc>
          <w:tcPr>
            <w:tcW w:w="1375" w:type="dxa"/>
            <w:tcBorders>
              <w:top w:val="single" w:sz="4" w:space="0" w:color="auto"/>
              <w:left w:val="single" w:sz="4" w:space="0" w:color="auto"/>
              <w:bottom w:val="single" w:sz="4" w:space="0" w:color="auto"/>
              <w:right w:val="single" w:sz="4" w:space="0" w:color="auto"/>
            </w:tcBorders>
            <w:vAlign w:val="bottom"/>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vAlign w:val="bottom"/>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p>
        </w:tc>
      </w:tr>
      <w:tr w:rsidR="007B27F0" w:rsidRPr="00906EA7" w:rsidTr="003E45E5">
        <w:trPr>
          <w:trHeight w:val="572"/>
        </w:trPr>
        <w:tc>
          <w:tcPr>
            <w:tcW w:w="5632"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Добыча полезных ископаемых</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5 082,7</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6 547,8</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128,8</w:t>
            </w:r>
          </w:p>
        </w:tc>
      </w:tr>
      <w:tr w:rsidR="007B27F0" w:rsidRPr="00906EA7" w:rsidTr="003E45E5">
        <w:trPr>
          <w:trHeight w:val="572"/>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Обрабатывающие производства</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1 135,9</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969,6</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85,4</w:t>
            </w:r>
          </w:p>
        </w:tc>
      </w:tr>
      <w:tr w:rsidR="007B27F0" w:rsidRPr="00906EA7" w:rsidTr="007B27F0">
        <w:trPr>
          <w:trHeight w:val="325"/>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Обеспечение электрической энергии, газом и паром; кондиционирование воздуха</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88517E"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3 500,3</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88517E"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3 584,2</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102,4</w:t>
            </w:r>
          </w:p>
        </w:tc>
      </w:tr>
      <w:tr w:rsidR="007B27F0" w:rsidRPr="00906EA7" w:rsidTr="007B27F0">
        <w:trPr>
          <w:trHeight w:val="325"/>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88517E"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262,7</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88517E"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255,0</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97,1</w:t>
            </w:r>
          </w:p>
        </w:tc>
      </w:tr>
    </w:tbl>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Основную долю промышленного производства составляют предприятия по добыче полезных ископаемых, на долю которых приходится 57,7% от общего объема отгруженных товаров промышленного производства. </w:t>
      </w:r>
    </w:p>
    <w:p w:rsidR="00ED2DDF" w:rsidRPr="00906EA7" w:rsidRDefault="00ED2DDF" w:rsidP="00ED2DDF">
      <w:pPr>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Основными видами экономической деятельности отрасли «добыча полезных ископаемых» являются сервисные услуги по добыче нефти и газа, оказываемые предприятиями города.  </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Предприятиями по виду деятельности «Добыча полезных ископаемых» за январь - декабрь 2019 года отгружено товаров собственного производства, выполнено работ и услуг собственными силами в действующих ценах на сумму 6 547,8 млн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что на 28,8% выше уровня показателя 2018 года. </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продукции обрабатывающих производств за отчетный период снизился, и составил 969,6 млн руб</w:t>
      </w:r>
      <w:r w:rsidR="00AA7DD6" w:rsidRPr="00906EA7">
        <w:rPr>
          <w:rFonts w:ascii="Times New Roman" w:eastAsia="Times New Roman" w:hAnsi="Times New Roman" w:cs="Times New Roman"/>
          <w:sz w:val="24"/>
          <w:szCs w:val="24"/>
          <w:lang w:eastAsia="ru-RU"/>
        </w:rPr>
        <w:t>.</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85,4% к уровню показателя 2018 года.</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отгруженной продукции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за отчетны</w:t>
      </w:r>
      <w:r w:rsidR="0088517E" w:rsidRPr="00906EA7">
        <w:rPr>
          <w:rFonts w:ascii="Times New Roman" w:eastAsia="Times New Roman" w:hAnsi="Times New Roman" w:cs="Times New Roman"/>
          <w:sz w:val="24"/>
          <w:szCs w:val="24"/>
          <w:lang w:eastAsia="ru-RU"/>
        </w:rPr>
        <w:t>й период 2019 года составил 3 584,2</w:t>
      </w:r>
      <w:r w:rsidRPr="00906EA7">
        <w:rPr>
          <w:rFonts w:ascii="Times New Roman" w:eastAsia="Times New Roman" w:hAnsi="Times New Roman" w:cs="Times New Roman"/>
          <w:sz w:val="24"/>
          <w:szCs w:val="24"/>
          <w:lang w:eastAsia="ru-RU"/>
        </w:rPr>
        <w:t xml:space="preserve"> млн руб</w:t>
      </w:r>
      <w:r w:rsidR="005D5C1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что на 2,4% выше показателя 2018 года. </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структуре объема отгруженных товаров собственного производства по виду деятельности «Водоснабжение, водоотведение, организация сбора и утилизации отходов, деятельность по ликвидации загрязнений» за 2019 год выполн</w:t>
      </w:r>
      <w:r w:rsidR="0088517E" w:rsidRPr="00906EA7">
        <w:rPr>
          <w:rFonts w:ascii="Times New Roman" w:eastAsia="Times New Roman" w:hAnsi="Times New Roman" w:cs="Times New Roman"/>
          <w:sz w:val="24"/>
          <w:szCs w:val="24"/>
          <w:lang w:eastAsia="ru-RU"/>
        </w:rPr>
        <w:t>ено работ и услуг на сумму 255,0</w:t>
      </w:r>
      <w:r w:rsidRPr="00906EA7">
        <w:rPr>
          <w:rFonts w:ascii="Times New Roman" w:eastAsia="Times New Roman" w:hAnsi="Times New Roman" w:cs="Times New Roman"/>
          <w:sz w:val="24"/>
          <w:szCs w:val="24"/>
          <w:lang w:eastAsia="ru-RU"/>
        </w:rPr>
        <w:t xml:space="preserve"> млн руб</w:t>
      </w:r>
      <w:r w:rsidR="005D5C1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или 97,1% к соответствующему периоду 2018 года в действующих ценах.</w:t>
      </w:r>
    </w:p>
    <w:p w:rsidR="006C207F" w:rsidRPr="00906EA7" w:rsidRDefault="006C207F" w:rsidP="0097253F">
      <w:pPr>
        <w:spacing w:after="0" w:line="240" w:lineRule="auto"/>
        <w:ind w:firstLine="708"/>
        <w:jc w:val="both"/>
        <w:rPr>
          <w:rFonts w:ascii="Times New Roman" w:eastAsia="Times New Roman" w:hAnsi="Times New Roman" w:cs="Times New Roman"/>
          <w:sz w:val="24"/>
          <w:szCs w:val="24"/>
          <w:lang w:eastAsia="ru-RU"/>
        </w:rPr>
      </w:pPr>
    </w:p>
    <w:p w:rsidR="007256D1" w:rsidRPr="00906EA7" w:rsidRDefault="007256D1"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ИНВЕСТИЦИИ и СТРОИТЕЛЬСТВО</w:t>
      </w:r>
    </w:p>
    <w:p w:rsidR="00522531" w:rsidRPr="00906EA7" w:rsidRDefault="00522531" w:rsidP="0097253F">
      <w:pPr>
        <w:widowControl w:val="0"/>
        <w:shd w:val="clear" w:color="auto" w:fill="FFFFFF"/>
        <w:tabs>
          <w:tab w:val="left" w:pos="4234"/>
        </w:tabs>
        <w:spacing w:after="0" w:line="240" w:lineRule="auto"/>
        <w:ind w:firstLine="720"/>
        <w:jc w:val="both"/>
        <w:rPr>
          <w:rFonts w:ascii="Times New Roman" w:hAnsi="Times New Roman" w:cs="Times New Roman"/>
          <w:sz w:val="24"/>
          <w:szCs w:val="24"/>
          <w:shd w:val="clear" w:color="auto" w:fill="FFFFFF"/>
        </w:rPr>
      </w:pPr>
    </w:p>
    <w:p w:rsidR="009A69B9" w:rsidRPr="00906EA7" w:rsidRDefault="009A69B9" w:rsidP="0097253F">
      <w:pPr>
        <w:widowControl w:val="0"/>
        <w:shd w:val="clear" w:color="auto" w:fill="FFFFFF"/>
        <w:tabs>
          <w:tab w:val="left" w:pos="4234"/>
        </w:tabs>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shd w:val="clear" w:color="auto" w:fill="FFFFFF"/>
        </w:rPr>
        <w:t>Инвестиции являются источником развития экономики территорий.</w:t>
      </w:r>
      <w:r w:rsidRPr="00906EA7">
        <w:rPr>
          <w:rFonts w:ascii="Tahoma" w:hAnsi="Tahoma" w:cs="Tahoma"/>
          <w:sz w:val="28"/>
          <w:szCs w:val="28"/>
          <w:shd w:val="clear" w:color="auto" w:fill="FFFFFF"/>
        </w:rPr>
        <w:t xml:space="preserve"> </w:t>
      </w:r>
      <w:r w:rsidRPr="00906EA7">
        <w:rPr>
          <w:rFonts w:ascii="Times New Roman" w:hAnsi="Times New Roman" w:cs="Times New Roman"/>
          <w:sz w:val="24"/>
          <w:szCs w:val="24"/>
        </w:rPr>
        <w:t xml:space="preserve">Основным видом инвестиций для городского округа являются вложения в новое строительство, расширение, реконструкцию и техническое перевооружение действующих объектов, приобретение </w:t>
      </w:r>
      <w:r w:rsidRPr="00906EA7">
        <w:rPr>
          <w:rFonts w:ascii="Times New Roman" w:hAnsi="Times New Roman" w:cs="Times New Roman"/>
          <w:sz w:val="24"/>
          <w:szCs w:val="24"/>
        </w:rPr>
        <w:lastRenderedPageBreak/>
        <w:t>оборудования.</w:t>
      </w:r>
    </w:p>
    <w:p w:rsidR="009A69B9" w:rsidRPr="00906EA7" w:rsidRDefault="009A69B9"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bCs/>
          <w:iCs/>
          <w:sz w:val="24"/>
          <w:szCs w:val="24"/>
          <w:lang w:eastAsia="ru-RU"/>
        </w:rPr>
        <w:t xml:space="preserve">Объем инвестиций в основной капитал, </w:t>
      </w:r>
      <w:r w:rsidRPr="00906EA7">
        <w:rPr>
          <w:rFonts w:ascii="Times New Roman" w:eastAsia="Times New Roman" w:hAnsi="Times New Roman" w:cs="Times New Roman"/>
          <w:sz w:val="24"/>
          <w:szCs w:val="24"/>
          <w:lang w:eastAsia="ru-RU"/>
        </w:rPr>
        <w:t xml:space="preserve">освоенных крупными и средними предприятиями городского округа город Мегион за 2019 </w:t>
      </w:r>
      <w:r w:rsidR="003E2806" w:rsidRPr="00906EA7">
        <w:rPr>
          <w:rFonts w:ascii="Times New Roman" w:eastAsia="Times New Roman" w:hAnsi="Times New Roman" w:cs="Times New Roman"/>
          <w:sz w:val="24"/>
          <w:szCs w:val="24"/>
          <w:lang w:eastAsia="ru-RU"/>
        </w:rPr>
        <w:t>год составил 29 337,7 млн руб.</w:t>
      </w:r>
      <w:r w:rsidRPr="00906EA7">
        <w:rPr>
          <w:rFonts w:ascii="Times New Roman" w:eastAsia="Times New Roman" w:hAnsi="Times New Roman" w:cs="Times New Roman"/>
          <w:sz w:val="24"/>
          <w:szCs w:val="24"/>
          <w:lang w:eastAsia="ru-RU"/>
        </w:rPr>
        <w:t>, что на 5,7% выше уровня соответствующего периода 2018 года.</w:t>
      </w:r>
    </w:p>
    <w:p w:rsidR="003E45E5" w:rsidRPr="00906EA7" w:rsidRDefault="003E45E5" w:rsidP="0097253F">
      <w:pPr>
        <w:spacing w:after="0" w:line="240" w:lineRule="auto"/>
        <w:ind w:firstLine="709"/>
        <w:jc w:val="center"/>
        <w:rPr>
          <w:rFonts w:ascii="Times New Roman" w:eastAsia="Times New Roman" w:hAnsi="Times New Roman" w:cs="Times New Roman"/>
          <w:sz w:val="24"/>
          <w:szCs w:val="24"/>
          <w:lang w:eastAsia="ru-RU"/>
        </w:rPr>
      </w:pPr>
    </w:p>
    <w:p w:rsidR="003E45E5" w:rsidRPr="00906EA7" w:rsidRDefault="003E45E5" w:rsidP="003E45E5">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инвестиций в основной капитал по крупным и средним организациям городского округа город Мегион за 2017-2019 годы</w:t>
      </w:r>
    </w:p>
    <w:p w:rsidR="003E45E5" w:rsidRPr="00906EA7" w:rsidRDefault="003E45E5" w:rsidP="003E45E5">
      <w:pPr>
        <w:widowControl w:val="0"/>
        <w:shd w:val="clear" w:color="auto" w:fill="FFFFFF"/>
        <w:spacing w:after="0" w:line="240" w:lineRule="auto"/>
        <w:jc w:val="center"/>
        <w:rPr>
          <w:rFonts w:ascii="Times New Roman" w:eastAsia="Times New Roman" w:hAnsi="Times New Roman" w:cs="Times New Roman"/>
          <w:sz w:val="24"/>
          <w:szCs w:val="24"/>
          <w:lang w:eastAsia="ru-RU"/>
        </w:rPr>
      </w:pPr>
    </w:p>
    <w:tbl>
      <w:tblPr>
        <w:tblStyle w:val="a3"/>
        <w:tblW w:w="0" w:type="auto"/>
        <w:tblInd w:w="113" w:type="dxa"/>
        <w:tblLook w:val="04A0" w:firstRow="1" w:lastRow="0" w:firstColumn="1" w:lastColumn="0" w:noHBand="0" w:noVBand="1"/>
      </w:tblPr>
      <w:tblGrid>
        <w:gridCol w:w="3964"/>
        <w:gridCol w:w="1409"/>
        <w:gridCol w:w="1410"/>
        <w:gridCol w:w="1409"/>
        <w:gridCol w:w="1410"/>
      </w:tblGrid>
      <w:tr w:rsidR="003E45E5" w:rsidRPr="00906EA7" w:rsidTr="003E45E5">
        <w:trPr>
          <w:trHeight w:val="615"/>
        </w:trPr>
        <w:tc>
          <w:tcPr>
            <w:tcW w:w="3964"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p>
        </w:tc>
        <w:tc>
          <w:tcPr>
            <w:tcW w:w="1409"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2017 год </w:t>
            </w:r>
          </w:p>
        </w:tc>
        <w:tc>
          <w:tcPr>
            <w:tcW w:w="1410"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2018 год </w:t>
            </w:r>
          </w:p>
        </w:tc>
        <w:tc>
          <w:tcPr>
            <w:tcW w:w="1409"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2019 год </w:t>
            </w:r>
          </w:p>
        </w:tc>
        <w:tc>
          <w:tcPr>
            <w:tcW w:w="1410"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r w:rsidRPr="00906EA7">
              <w:rPr>
                <w:rFonts w:ascii="Times New Roman" w:hAnsi="Times New Roman"/>
                <w:sz w:val="20"/>
                <w:szCs w:val="20"/>
              </w:rPr>
              <w:t>Темп  роста в действующих ценах, %</w:t>
            </w:r>
          </w:p>
        </w:tc>
      </w:tr>
      <w:tr w:rsidR="003E45E5" w:rsidRPr="00906EA7" w:rsidTr="003E45E5">
        <w:trPr>
          <w:trHeight w:val="691"/>
        </w:trPr>
        <w:tc>
          <w:tcPr>
            <w:tcW w:w="3964" w:type="dxa"/>
            <w:vAlign w:val="center"/>
          </w:tcPr>
          <w:p w:rsidR="003E45E5" w:rsidRPr="00906EA7" w:rsidRDefault="003E45E5" w:rsidP="003E45E5">
            <w:pPr>
              <w:widowControl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Объем инвестиций в основной капитал, всего, млн руб.</w:t>
            </w:r>
          </w:p>
        </w:tc>
        <w:tc>
          <w:tcPr>
            <w:tcW w:w="1409" w:type="dxa"/>
            <w:vAlign w:val="center"/>
          </w:tcPr>
          <w:p w:rsidR="003E45E5" w:rsidRPr="00906EA7" w:rsidRDefault="001C2E31" w:rsidP="003E45E5">
            <w:pPr>
              <w:widowControl w:val="0"/>
              <w:jc w:val="center"/>
              <w:rPr>
                <w:rFonts w:ascii="Times New Roman" w:eastAsia="Times New Roman" w:hAnsi="Times New Roman"/>
                <w:sz w:val="24"/>
                <w:szCs w:val="24"/>
                <w:lang w:val="en-US" w:eastAsia="ru-RU"/>
              </w:rPr>
            </w:pPr>
            <w:r w:rsidRPr="00906EA7">
              <w:rPr>
                <w:rFonts w:ascii="Times New Roman" w:eastAsia="Times New Roman" w:hAnsi="Times New Roman"/>
                <w:sz w:val="24"/>
                <w:szCs w:val="24"/>
                <w:lang w:eastAsia="ru-RU"/>
              </w:rPr>
              <w:t>25 697,</w:t>
            </w:r>
            <w:r w:rsidR="003E45E5" w:rsidRPr="00906EA7">
              <w:rPr>
                <w:rFonts w:ascii="Times New Roman" w:eastAsia="Times New Roman" w:hAnsi="Times New Roman"/>
                <w:sz w:val="24"/>
                <w:szCs w:val="24"/>
                <w:lang w:val="en-US" w:eastAsia="ru-RU"/>
              </w:rPr>
              <w:t>7</w:t>
            </w:r>
          </w:p>
        </w:tc>
        <w:tc>
          <w:tcPr>
            <w:tcW w:w="1410" w:type="dxa"/>
            <w:vAlign w:val="center"/>
          </w:tcPr>
          <w:p w:rsidR="003E45E5" w:rsidRPr="00906EA7" w:rsidRDefault="003E45E5" w:rsidP="003E45E5">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27 745,7</w:t>
            </w:r>
          </w:p>
        </w:tc>
        <w:tc>
          <w:tcPr>
            <w:tcW w:w="1409" w:type="dxa"/>
            <w:vAlign w:val="center"/>
          </w:tcPr>
          <w:p w:rsidR="003E45E5" w:rsidRPr="00906EA7" w:rsidRDefault="001C2E31" w:rsidP="003E45E5">
            <w:pPr>
              <w:widowControl w:val="0"/>
              <w:jc w:val="center"/>
              <w:rPr>
                <w:rFonts w:ascii="Times New Roman" w:eastAsia="Times New Roman" w:hAnsi="Times New Roman"/>
                <w:sz w:val="24"/>
                <w:szCs w:val="24"/>
                <w:lang w:val="en-US" w:eastAsia="ru-RU"/>
              </w:rPr>
            </w:pPr>
            <w:r w:rsidRPr="00906EA7">
              <w:rPr>
                <w:rFonts w:ascii="Times New Roman" w:eastAsia="Times New Roman" w:hAnsi="Times New Roman"/>
                <w:sz w:val="24"/>
                <w:szCs w:val="24"/>
                <w:lang w:eastAsia="ru-RU"/>
              </w:rPr>
              <w:t>29 337,</w:t>
            </w:r>
            <w:r w:rsidR="003E45E5" w:rsidRPr="00906EA7">
              <w:rPr>
                <w:rFonts w:ascii="Times New Roman" w:eastAsia="Times New Roman" w:hAnsi="Times New Roman"/>
                <w:sz w:val="24"/>
                <w:szCs w:val="24"/>
                <w:lang w:val="en-US" w:eastAsia="ru-RU"/>
              </w:rPr>
              <w:t>7</w:t>
            </w:r>
          </w:p>
        </w:tc>
        <w:tc>
          <w:tcPr>
            <w:tcW w:w="1410" w:type="dxa"/>
            <w:vAlign w:val="center"/>
          </w:tcPr>
          <w:p w:rsidR="003E45E5" w:rsidRPr="00906EA7" w:rsidRDefault="001C2E31" w:rsidP="003E45E5">
            <w:pPr>
              <w:widowControl w:val="0"/>
              <w:jc w:val="center"/>
              <w:rPr>
                <w:rFonts w:ascii="Times New Roman" w:eastAsia="Times New Roman" w:hAnsi="Times New Roman"/>
                <w:sz w:val="24"/>
                <w:szCs w:val="24"/>
                <w:lang w:val="en-US" w:eastAsia="ru-RU"/>
              </w:rPr>
            </w:pPr>
            <w:r w:rsidRPr="00906EA7">
              <w:rPr>
                <w:rFonts w:ascii="Times New Roman" w:eastAsia="Times New Roman" w:hAnsi="Times New Roman"/>
                <w:sz w:val="24"/>
                <w:szCs w:val="24"/>
                <w:lang w:val="en-US" w:eastAsia="ru-RU"/>
              </w:rPr>
              <w:t>105</w:t>
            </w:r>
            <w:r w:rsidRPr="00906EA7">
              <w:rPr>
                <w:rFonts w:ascii="Times New Roman" w:eastAsia="Times New Roman" w:hAnsi="Times New Roman"/>
                <w:sz w:val="24"/>
                <w:szCs w:val="24"/>
                <w:lang w:eastAsia="ru-RU"/>
              </w:rPr>
              <w:t>,</w:t>
            </w:r>
            <w:r w:rsidR="003E45E5" w:rsidRPr="00906EA7">
              <w:rPr>
                <w:rFonts w:ascii="Times New Roman" w:eastAsia="Times New Roman" w:hAnsi="Times New Roman"/>
                <w:sz w:val="24"/>
                <w:szCs w:val="24"/>
                <w:lang w:val="en-US" w:eastAsia="ru-RU"/>
              </w:rPr>
              <w:t>7</w:t>
            </w:r>
          </w:p>
        </w:tc>
      </w:tr>
    </w:tbl>
    <w:p w:rsidR="009A69B9" w:rsidRPr="00906EA7" w:rsidRDefault="009A69B9" w:rsidP="0097253F">
      <w:pPr>
        <w:spacing w:after="0" w:line="240" w:lineRule="auto"/>
        <w:ind w:firstLine="708"/>
        <w:jc w:val="both"/>
        <w:rPr>
          <w:rFonts w:ascii="Times New Roman" w:eastAsia="Times New Roman" w:hAnsi="Times New Roman" w:cs="Times New Roman"/>
          <w:sz w:val="24"/>
          <w:szCs w:val="24"/>
          <w:lang w:eastAsia="ru-RU"/>
        </w:rPr>
      </w:pPr>
    </w:p>
    <w:p w:rsidR="009A69B9" w:rsidRPr="00906EA7" w:rsidRDefault="009A69B9"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составе вложений в основной капитал по видам экономической деятельности                 (по кругу крупных и средних организаций) по прежнему лидируют инвестиции по виду экономической деятельности «Добыча полезных ископаемых», удельный вес которых составляет  94,5%.</w:t>
      </w:r>
    </w:p>
    <w:p w:rsidR="009A69B9" w:rsidRPr="00906EA7" w:rsidRDefault="009A69B9"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2019 год инвестиционные ресурсы крупными и средними организациями в основном направлялись на приобретение, монтаж и установку машин и оборудования – 46,8%, а также на строительство зданий (кроме жилых) и сооружений – 14,8%.</w:t>
      </w:r>
    </w:p>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p>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Отраслевая структура инвестиций за 2017-2019 годы</w:t>
      </w:r>
    </w:p>
    <w:p w:rsidR="009A69B9" w:rsidRPr="00906EA7" w:rsidRDefault="003E2806" w:rsidP="0097253F">
      <w:pPr>
        <w:spacing w:after="0" w:line="240" w:lineRule="auto"/>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млн  руб.</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1221"/>
        <w:gridCol w:w="1220"/>
        <w:gridCol w:w="1220"/>
        <w:gridCol w:w="1221"/>
      </w:tblGrid>
      <w:tr w:rsidR="009A69B9" w:rsidRPr="00906EA7" w:rsidTr="009A69B9">
        <w:trPr>
          <w:cantSplit/>
          <w:trHeight w:val="103"/>
          <w:tblHeader/>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Отрасли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2017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2018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2019 год</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Темп роста в %</w:t>
            </w:r>
          </w:p>
        </w:tc>
      </w:tr>
      <w:tr w:rsidR="009A69B9" w:rsidRPr="00906EA7" w:rsidTr="009A69B9">
        <w:trPr>
          <w:cantSplit/>
          <w:trHeight w:val="282"/>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Всего по городу Мегиону</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25 697,7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27 745,7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29 337,7</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105,7</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Добыча полезных ископаемых</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24 429,4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25 827,2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27 716,6</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107,3</w:t>
            </w:r>
          </w:p>
        </w:tc>
      </w:tr>
      <w:tr w:rsidR="009A69B9" w:rsidRPr="00906EA7" w:rsidTr="009A69B9">
        <w:trPr>
          <w:trHeight w:val="240"/>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Обрабатывающие производства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502,3</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111 раз</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139,7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559,8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131,9</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23,6</w:t>
            </w:r>
          </w:p>
        </w:tc>
      </w:tr>
      <w:tr w:rsidR="009A69B9" w:rsidRPr="00906EA7" w:rsidTr="009A69B9">
        <w:trPr>
          <w:trHeight w:val="223"/>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Строительство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208,8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485,7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166,2</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34,2</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Оптовая и розничная торговля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41,9</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0F5DE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Государственное управление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4,4</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61,1</w:t>
            </w:r>
          </w:p>
        </w:tc>
      </w:tr>
      <w:tr w:rsidR="009A69B9" w:rsidRPr="00906EA7" w:rsidTr="009A69B9">
        <w:trPr>
          <w:trHeight w:val="256"/>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Образование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43,4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43,4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80,4</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185,3</w:t>
            </w:r>
          </w:p>
        </w:tc>
      </w:tr>
      <w:tr w:rsidR="009A69B9" w:rsidRPr="00906EA7" w:rsidTr="009A69B9">
        <w:trPr>
          <w:trHeight w:val="89"/>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Здравоохранение и предоставление социальных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61,6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41,3</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67,0</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highlight w:val="yellow"/>
                <w:lang w:eastAsia="ru-RU"/>
              </w:rPr>
            </w:pPr>
            <w:r w:rsidRPr="00906EA7">
              <w:rPr>
                <w:rFonts w:ascii="Times New Roman" w:eastAsia="Times New Roman" w:hAnsi="Times New Roman" w:cs="Times New Roman"/>
                <w:sz w:val="24"/>
                <w:szCs w:val="24"/>
                <w:lang w:eastAsia="ru-RU"/>
              </w:rPr>
              <w:t>Предоставление прочих видов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824,5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756,3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652,7</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86,3</w:t>
            </w:r>
          </w:p>
        </w:tc>
      </w:tr>
    </w:tbl>
    <w:p w:rsidR="009A69B9" w:rsidRPr="00906EA7" w:rsidRDefault="009A69B9"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2441F" w:rsidRPr="00906EA7" w:rsidRDefault="009A69B9"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 итогам 2019 года на территории города рост инвестиционной активности наблюдается в таких отраслях, как «Добыча полезных ископаемых», «Обрабатывающие производства», «Оптовая и розничная торговля», </w:t>
      </w:r>
      <w:r w:rsidR="0032441F" w:rsidRPr="00906EA7">
        <w:rPr>
          <w:rFonts w:ascii="Times New Roman" w:eastAsia="Times New Roman" w:hAnsi="Times New Roman" w:cs="Times New Roman"/>
          <w:sz w:val="24"/>
          <w:szCs w:val="24"/>
          <w:lang w:eastAsia="ru-RU"/>
        </w:rPr>
        <w:t xml:space="preserve">«Образование». </w:t>
      </w:r>
    </w:p>
    <w:p w:rsidR="009A69B9" w:rsidRPr="00906EA7" w:rsidRDefault="009A69B9"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Однако отмечено и сокращение инвестирования в основной капитал организаций некоторых видов экономической деятельности.</w:t>
      </w:r>
      <w:r w:rsidRPr="00906EA7">
        <w:rPr>
          <w:rFonts w:ascii="Arial" w:eastAsia="Times New Roman" w:hAnsi="Arial" w:cs="Arial"/>
          <w:sz w:val="20"/>
          <w:szCs w:val="20"/>
          <w:lang w:eastAsia="ru-RU"/>
        </w:rPr>
        <w:t xml:space="preserve"> </w:t>
      </w:r>
      <w:r w:rsidRPr="00906EA7">
        <w:rPr>
          <w:rFonts w:ascii="Times New Roman" w:eastAsia="Times New Roman" w:hAnsi="Times New Roman" w:cs="Times New Roman"/>
          <w:sz w:val="24"/>
          <w:szCs w:val="24"/>
          <w:lang w:eastAsia="ru-RU"/>
        </w:rPr>
        <w:t>В сравнении с 2018 годом в 2019 году произошло снижение объема капиталовложений в отрасли «Обеспечение электрической энергией, газом и паром; кондициониров</w:t>
      </w:r>
      <w:r w:rsidR="00177661" w:rsidRPr="00906EA7">
        <w:rPr>
          <w:rFonts w:ascii="Times New Roman" w:eastAsia="Times New Roman" w:hAnsi="Times New Roman" w:cs="Times New Roman"/>
          <w:sz w:val="24"/>
          <w:szCs w:val="24"/>
          <w:lang w:eastAsia="ru-RU"/>
        </w:rPr>
        <w:t xml:space="preserve">ание воздуха», «Строительство», </w:t>
      </w:r>
      <w:r w:rsidRPr="00906EA7">
        <w:rPr>
          <w:rFonts w:ascii="Times New Roman" w:eastAsia="Times New Roman" w:hAnsi="Times New Roman" w:cs="Times New Roman"/>
          <w:sz w:val="24"/>
          <w:szCs w:val="24"/>
          <w:lang w:eastAsia="ru-RU"/>
        </w:rPr>
        <w:t>«Государственное управление», «Здравоохранение и предоставление социальных услуг» и «</w:t>
      </w:r>
      <w:r w:rsidR="00177661" w:rsidRPr="00906EA7">
        <w:rPr>
          <w:rFonts w:ascii="Times New Roman" w:eastAsia="Times New Roman" w:hAnsi="Times New Roman" w:cs="Times New Roman"/>
          <w:sz w:val="24"/>
          <w:szCs w:val="24"/>
          <w:lang w:eastAsia="ru-RU"/>
        </w:rPr>
        <w:t>Предоставление прочих видов услуг</w:t>
      </w:r>
      <w:r w:rsidRPr="00906EA7">
        <w:rPr>
          <w:rFonts w:ascii="Times New Roman" w:eastAsia="Times New Roman" w:hAnsi="Times New Roman" w:cs="Times New Roman"/>
          <w:sz w:val="24"/>
          <w:szCs w:val="24"/>
          <w:lang w:eastAsia="ru-RU"/>
        </w:rPr>
        <w:t>».</w:t>
      </w:r>
    </w:p>
    <w:p w:rsidR="009A69B9" w:rsidRPr="00906EA7" w:rsidRDefault="009A69B9"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Times New Roman" w:hAnsi="Times New Roman" w:cs="Times New Roman"/>
          <w:sz w:val="24"/>
          <w:szCs w:val="24"/>
          <w:lang w:eastAsia="ru-RU"/>
        </w:rPr>
        <w:t xml:space="preserve">Основным источником инвестиций в основной капитал являются собственные средства предприятий, которые в 2019 году составили основную долю капиталовложений крупных и средних предприятий. Их доля в 2019 году составила 96,4%, что ниже 2018 года </w:t>
      </w:r>
      <w:r w:rsidRPr="00906EA7">
        <w:rPr>
          <w:rFonts w:ascii="Times New Roman" w:eastAsia="Times New Roman" w:hAnsi="Times New Roman" w:cs="Times New Roman"/>
          <w:sz w:val="24"/>
          <w:szCs w:val="24"/>
          <w:lang w:eastAsia="ru-RU"/>
        </w:rPr>
        <w:lastRenderedPageBreak/>
        <w:t>на 1,3 процентный пункт. При этом доля привлеченных средств увеличилась с 2,3% в 2018 году до 3,6% в 2019 году.</w:t>
      </w:r>
    </w:p>
    <w:p w:rsidR="009A69B9" w:rsidRPr="00906EA7" w:rsidRDefault="009A69B9" w:rsidP="0097253F">
      <w:pPr>
        <w:widowControl w:val="0"/>
        <w:snapToGrid w:val="0"/>
        <w:spacing w:after="0" w:line="240" w:lineRule="auto"/>
        <w:ind w:firstLine="709"/>
        <w:jc w:val="center"/>
        <w:rPr>
          <w:rFonts w:ascii="Times New Roman" w:eastAsia="Times New Roman" w:hAnsi="Times New Roman" w:cs="Times New Roman"/>
          <w:sz w:val="24"/>
          <w:szCs w:val="24"/>
          <w:lang w:eastAsia="ru-RU"/>
        </w:rPr>
      </w:pPr>
    </w:p>
    <w:p w:rsidR="009A69B9" w:rsidRPr="00906EA7" w:rsidRDefault="009A69B9" w:rsidP="0097253F">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Структура инвестиций в основной капитал по источникам финансирования</w:t>
      </w:r>
    </w:p>
    <w:p w:rsidR="009A69B9" w:rsidRPr="00906EA7" w:rsidRDefault="009A69B9" w:rsidP="0097253F">
      <w:pPr>
        <w:widowControl w:val="0"/>
        <w:snapToGrid w:val="0"/>
        <w:spacing w:after="0" w:line="240" w:lineRule="auto"/>
        <w:ind w:firstLine="709"/>
        <w:jc w:val="center"/>
        <w:rPr>
          <w:rFonts w:ascii="Times New Roman" w:eastAsia="Times New Roman" w:hAnsi="Times New Roman" w:cs="Times New Roman"/>
          <w:sz w:val="10"/>
          <w:szCs w:val="10"/>
          <w:lang w:eastAsia="ru-RU"/>
        </w:rPr>
      </w:pPr>
    </w:p>
    <w:p w:rsidR="009A69B9" w:rsidRPr="00906EA7" w:rsidRDefault="009A69B9" w:rsidP="003E2806">
      <w:pPr>
        <w:spacing w:after="0" w:line="240" w:lineRule="auto"/>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xml:space="preserve">                                                                                                                                                        млн руб</w:t>
      </w:r>
      <w:r w:rsidR="003E2806" w:rsidRPr="00906EA7">
        <w:rPr>
          <w:rFonts w:ascii="Times New Roman" w:eastAsia="Times New Roman" w:hAnsi="Times New Roman" w:cs="Times New Roman"/>
          <w:sz w:val="20"/>
          <w:szCs w:val="20"/>
          <w:lang w:eastAsia="ru-RU"/>
        </w:rPr>
        <w:t>.</w:t>
      </w:r>
    </w:p>
    <w:tbl>
      <w:tblPr>
        <w:tblpPr w:leftFromText="180" w:rightFromText="180" w:bottomFromText="160" w:vertAnchor="text" w:tblpY="1"/>
        <w:tblOverlap w:val="neve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1703"/>
        <w:gridCol w:w="1387"/>
        <w:gridCol w:w="1168"/>
      </w:tblGrid>
      <w:tr w:rsidR="009A69B9" w:rsidRPr="00906EA7" w:rsidTr="00FE67AF">
        <w:trPr>
          <w:trHeight w:val="249"/>
        </w:trPr>
        <w:tc>
          <w:tcPr>
            <w:tcW w:w="5493" w:type="dxa"/>
            <w:vMerge w:val="restart"/>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Источники финансирования инвестиций</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Удельный вес, %</w:t>
            </w:r>
          </w:p>
        </w:tc>
      </w:tr>
      <w:tr w:rsidR="009A69B9" w:rsidRPr="00906EA7" w:rsidTr="00FE67AF">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0"/>
                <w:szCs w:val="20"/>
                <w:lang w:eastAsia="ru-RU"/>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r>
      <w:tr w:rsidR="009A69B9" w:rsidRPr="00906EA7" w:rsidTr="00FE67AF">
        <w:trPr>
          <w:trHeight w:val="260"/>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Всего инвестиций</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tabs>
                <w:tab w:val="left" w:pos="684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29 337,7</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tabs>
                <w:tab w:val="left" w:pos="684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tabs>
                <w:tab w:val="left" w:pos="684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100,0</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Собственные средства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28 280,3</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97,7</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96,4</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Привлеченные средства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1 057,4</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2,3  </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3,6</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из них:</w:t>
            </w:r>
          </w:p>
        </w:tc>
        <w:tc>
          <w:tcPr>
            <w:tcW w:w="1703" w:type="dxa"/>
            <w:tcBorders>
              <w:top w:val="single" w:sz="4" w:space="0" w:color="auto"/>
              <w:left w:val="single" w:sz="4" w:space="0" w:color="auto"/>
              <w:bottom w:val="single" w:sz="4" w:space="0" w:color="auto"/>
              <w:right w:val="single" w:sz="4" w:space="0" w:color="auto"/>
            </w:tcBorders>
            <w:vAlign w:val="center"/>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p>
        </w:tc>
        <w:tc>
          <w:tcPr>
            <w:tcW w:w="1387" w:type="dxa"/>
            <w:tcBorders>
              <w:top w:val="single" w:sz="4" w:space="0" w:color="auto"/>
              <w:left w:val="single" w:sz="4" w:space="0" w:color="auto"/>
              <w:bottom w:val="single" w:sz="4" w:space="0" w:color="auto"/>
              <w:right w:val="single" w:sz="4" w:space="0" w:color="auto"/>
            </w:tcBorders>
            <w:vAlign w:val="center"/>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заемные средства других организаций</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646,5</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61,1</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кредиты банков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85,1</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8,1</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счет бюджетных средств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314,8</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85,0</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29,8</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счет средств внебюджетных источников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счет средств организаций, для привлечения долевого строительства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счет прочих средств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11,0</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11,4</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w:t>
            </w:r>
          </w:p>
        </w:tc>
      </w:tr>
    </w:tbl>
    <w:p w:rsidR="009A69B9" w:rsidRPr="00906EA7" w:rsidRDefault="009A69B9"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структуре инвестиций, осуществленных организациями за счет привлеченных средств, значительно снизилась доля инвестиций, осуществленных за счет бюджетных средств с 85,0% в 2018 году до 29,8% в 2019 году.</w:t>
      </w:r>
    </w:p>
    <w:p w:rsidR="009A69B9" w:rsidRPr="00906EA7" w:rsidRDefault="009A69B9" w:rsidP="0097253F">
      <w:pPr>
        <w:shd w:val="clear" w:color="auto" w:fill="FFFFFF"/>
        <w:spacing w:after="0" w:line="240" w:lineRule="auto"/>
        <w:ind w:hanging="90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ab/>
      </w:r>
    </w:p>
    <w:p w:rsidR="009A69B9" w:rsidRPr="00906EA7" w:rsidRDefault="009A69B9" w:rsidP="00906EA7">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Структура бюджетных инвестиций за 2017-2019 годы</w:t>
      </w:r>
    </w:p>
    <w:p w:rsidR="009A69B9" w:rsidRPr="00906EA7" w:rsidRDefault="003E2806" w:rsidP="0097253F">
      <w:pPr>
        <w:spacing w:after="0" w:line="240" w:lineRule="auto"/>
        <w:ind w:firstLine="709"/>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млн руб.</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600"/>
        <w:gridCol w:w="1481"/>
        <w:gridCol w:w="1776"/>
        <w:gridCol w:w="1777"/>
      </w:tblGrid>
      <w:tr w:rsidR="009A69B9" w:rsidRPr="00906EA7" w:rsidTr="00FE67AF">
        <w:trPr>
          <w:trHeight w:val="289"/>
        </w:trPr>
        <w:tc>
          <w:tcPr>
            <w:tcW w:w="3135" w:type="dxa"/>
            <w:tcBorders>
              <w:top w:val="single" w:sz="4" w:space="0" w:color="auto"/>
              <w:left w:val="single" w:sz="4" w:space="0" w:color="auto"/>
              <w:bottom w:val="single" w:sz="4" w:space="0" w:color="auto"/>
              <w:right w:val="single" w:sz="4" w:space="0" w:color="auto"/>
            </w:tcBorders>
            <w:vAlign w:val="center"/>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Темп роста (снижения) %</w:t>
            </w:r>
          </w:p>
        </w:tc>
      </w:tr>
      <w:tr w:rsidR="009A69B9" w:rsidRPr="00906EA7" w:rsidTr="00FE67AF">
        <w:trPr>
          <w:trHeight w:val="271"/>
        </w:trPr>
        <w:tc>
          <w:tcPr>
            <w:tcW w:w="313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Всего</w:t>
            </w: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448,3</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537,9</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314,8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58,5</w:t>
            </w:r>
          </w:p>
        </w:tc>
      </w:tr>
      <w:tr w:rsidR="009A69B9" w:rsidRPr="00906EA7" w:rsidTr="00FE67AF">
        <w:trPr>
          <w:trHeight w:val="271"/>
        </w:trPr>
        <w:tc>
          <w:tcPr>
            <w:tcW w:w="313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2,3</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44,4</w:t>
            </w:r>
          </w:p>
        </w:tc>
      </w:tr>
      <w:tr w:rsidR="009A69B9" w:rsidRPr="00906EA7" w:rsidTr="00FE67AF">
        <w:trPr>
          <w:trHeight w:val="271"/>
        </w:trPr>
        <w:tc>
          <w:tcPr>
            <w:tcW w:w="313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Окружной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378,3</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441,5</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187,5</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42,5</w:t>
            </w:r>
          </w:p>
        </w:tc>
      </w:tr>
      <w:tr w:rsidR="009A69B9" w:rsidRPr="00906EA7" w:rsidTr="00FE67AF">
        <w:trPr>
          <w:trHeight w:val="285"/>
        </w:trPr>
        <w:tc>
          <w:tcPr>
            <w:tcW w:w="313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67,7</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93,7</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126,1</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134,6</w:t>
            </w:r>
          </w:p>
        </w:tc>
      </w:tr>
    </w:tbl>
    <w:p w:rsidR="009A69B9" w:rsidRPr="00906EA7" w:rsidRDefault="009A69B9" w:rsidP="0097253F">
      <w:pPr>
        <w:shd w:val="clear" w:color="auto" w:fill="FFFFFF"/>
        <w:spacing w:after="0" w:line="240" w:lineRule="auto"/>
        <w:jc w:val="both"/>
        <w:rPr>
          <w:rFonts w:ascii="Times New Roman" w:eastAsia="Times New Roman" w:hAnsi="Times New Roman" w:cs="Times New Roman"/>
          <w:sz w:val="24"/>
          <w:szCs w:val="24"/>
          <w:lang w:eastAsia="ru-RU"/>
        </w:rPr>
      </w:pPr>
    </w:p>
    <w:p w:rsidR="009A69B9" w:rsidRPr="00906EA7" w:rsidRDefault="009A69B9" w:rsidP="0097253F">
      <w:pPr>
        <w:widowControl w:val="0"/>
        <w:tabs>
          <w:tab w:val="left" w:pos="709"/>
        </w:tabs>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rPr>
        <w:t>Основная доля бюджетных инвестиций в объекты капитального строительства, а также субсидии на софинансирование объектов капитального строительства муниципальной собственности, предусмотрены в Адресной инвестиционной программе</w:t>
      </w:r>
      <w:r w:rsidR="00177661" w:rsidRPr="00906EA7">
        <w:rPr>
          <w:rFonts w:ascii="Times New Roman" w:hAnsi="Times New Roman" w:cs="Times New Roman"/>
          <w:sz w:val="24"/>
          <w:szCs w:val="24"/>
        </w:rPr>
        <w:t xml:space="preserve"> Ханты-Мансийского</w:t>
      </w:r>
      <w:r w:rsidRPr="00906EA7">
        <w:rPr>
          <w:rFonts w:ascii="Times New Roman" w:hAnsi="Times New Roman" w:cs="Times New Roman"/>
          <w:sz w:val="24"/>
          <w:szCs w:val="24"/>
        </w:rPr>
        <w:t xml:space="preserve"> автономного округа</w:t>
      </w:r>
      <w:r w:rsidR="00177661" w:rsidRPr="00906EA7">
        <w:rPr>
          <w:rFonts w:ascii="Times New Roman" w:hAnsi="Times New Roman" w:cs="Times New Roman"/>
          <w:sz w:val="24"/>
          <w:szCs w:val="24"/>
        </w:rPr>
        <w:t xml:space="preserve"> - Югры</w:t>
      </w:r>
      <w:r w:rsidRPr="00906EA7">
        <w:rPr>
          <w:rFonts w:ascii="Times New Roman" w:hAnsi="Times New Roman" w:cs="Times New Roman"/>
          <w:sz w:val="24"/>
          <w:szCs w:val="24"/>
        </w:rPr>
        <w:t>.</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Повышение инвестиционной привлекательности города для частного капитала, а также формирование благоприятного инвестиционного климата, являются первоочередными задачами местных органов власти.  </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территории городского округа сформировано 16 инвестиционных площадок, предусмотренных схемой территориального планирования автономного округа, в том числе в сферах развития нефтегазоперерабатывающего, агропромышленного, строительного комплексов, развития образования, физической культуры и спорта, энергетики и инженерной инфраструктуры. Перечень инвестиционных площадок размещен на инвестиционном портале города Мегиона в разделе «</w:t>
      </w:r>
      <w:hyperlink r:id="rId8" w:history="1">
        <w:r w:rsidRPr="00906EA7">
          <w:rPr>
            <w:rFonts w:ascii="Times New Roman" w:hAnsi="Times New Roman" w:cs="Times New Roman"/>
            <w:sz w:val="24"/>
            <w:szCs w:val="24"/>
          </w:rPr>
          <w:t>Инвестиционные предложения (площадки)»</w:t>
        </w:r>
      </w:hyperlink>
      <w:r w:rsidRPr="00906EA7">
        <w:rPr>
          <w:rFonts w:ascii="Times New Roman" w:hAnsi="Times New Roman" w:cs="Times New Roman"/>
          <w:sz w:val="24"/>
          <w:szCs w:val="24"/>
        </w:rPr>
        <w:t>.</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рамках деятельности Совета по вопросам развития инвестиционной деятельности в городском округе город Мегион в 2019 году проведено 9 заседаний, рассмотрены вопросы, связанные с эффективностью мер по привлечению частных инвестиций в сферы жилищного </w:t>
      </w:r>
      <w:r w:rsidRPr="00906EA7">
        <w:rPr>
          <w:rFonts w:ascii="Times New Roman" w:hAnsi="Times New Roman" w:cs="Times New Roman"/>
          <w:sz w:val="24"/>
          <w:szCs w:val="24"/>
        </w:rPr>
        <w:lastRenderedPageBreak/>
        <w:t xml:space="preserve">строительства, образования, спорта, в развитие жилищно-коммунальной, транспортной и социальной инфраструктур, в агропромышленный комплекс, а также другие вопросы, связанные с развитием инвестиционной деятельности. </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Обеспечена работа специализированного интернет - ресурса </w:t>
      </w:r>
      <w:r w:rsidRPr="00906EA7">
        <w:rPr>
          <w:rFonts w:ascii="Times New Roman" w:eastAsia="Calibri" w:hAnsi="Times New Roman" w:cs="Times New Roman"/>
          <w:sz w:val="24"/>
          <w:szCs w:val="24"/>
        </w:rPr>
        <w:t xml:space="preserve">городского округа </w:t>
      </w:r>
      <w:r w:rsidRPr="00906EA7">
        <w:rPr>
          <w:rFonts w:ascii="Times New Roman" w:hAnsi="Times New Roman" w:cs="Times New Roman"/>
          <w:sz w:val="24"/>
          <w:szCs w:val="24"/>
        </w:rPr>
        <w:t xml:space="preserve">– «инвестиционный портал» </w:t>
      </w:r>
      <w:hyperlink r:id="rId9" w:history="1">
        <w:r w:rsidRPr="00906EA7">
          <w:rPr>
            <w:rFonts w:ascii="Times New Roman" w:hAnsi="Times New Roman" w:cs="Times New Roman"/>
            <w:sz w:val="24"/>
            <w:szCs w:val="24"/>
          </w:rPr>
          <w:t>http://investmegion.ru/</w:t>
        </w:r>
      </w:hyperlink>
      <w:r w:rsidRPr="00906EA7">
        <w:rPr>
          <w:rFonts w:ascii="Times New Roman" w:hAnsi="Times New Roman" w:cs="Times New Roman"/>
          <w:sz w:val="24"/>
          <w:szCs w:val="24"/>
        </w:rPr>
        <w:t>, обеспечивающего прямую связь органов местного самоуправления с инвесторами.</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«инвестиционном портале» регулярно актуализируется информация по разделам:</w:t>
      </w:r>
    </w:p>
    <w:p w:rsidR="006C280B" w:rsidRPr="00906EA7" w:rsidRDefault="006C280B" w:rsidP="0097253F">
      <w:pPr>
        <w:spacing w:after="0" w:line="240" w:lineRule="auto"/>
        <w:ind w:firstLine="709"/>
        <w:jc w:val="both"/>
        <w:rPr>
          <w:rFonts w:ascii="Times New Roman" w:hAnsi="Times New Roman"/>
          <w:sz w:val="24"/>
          <w:szCs w:val="24"/>
        </w:rPr>
      </w:pPr>
      <w:r w:rsidRPr="00906EA7">
        <w:rPr>
          <w:rFonts w:ascii="Times New Roman" w:hAnsi="Times New Roman" w:cs="Times New Roman"/>
          <w:sz w:val="24"/>
          <w:szCs w:val="24"/>
        </w:rPr>
        <w:t>«Н</w:t>
      </w:r>
      <w:r w:rsidRPr="00906EA7">
        <w:rPr>
          <w:rFonts w:ascii="Times New Roman" w:hAnsi="Times New Roman"/>
          <w:sz w:val="24"/>
          <w:szCs w:val="24"/>
        </w:rPr>
        <w:t xml:space="preserve">овости» </w:t>
      </w:r>
      <w:r w:rsidRPr="00906EA7">
        <w:rPr>
          <w:rFonts w:ascii="Times New Roman" w:hAnsi="Times New Roman" w:cs="Times New Roman"/>
          <w:sz w:val="24"/>
          <w:szCs w:val="24"/>
        </w:rPr>
        <w:t>–</w:t>
      </w:r>
      <w:r w:rsidRPr="00906EA7">
        <w:rPr>
          <w:rFonts w:ascii="Times New Roman" w:hAnsi="Times New Roman"/>
          <w:sz w:val="24"/>
          <w:szCs w:val="24"/>
        </w:rPr>
        <w:t xml:space="preserve"> опубликовано 62 информационных сообщения;</w:t>
      </w:r>
    </w:p>
    <w:p w:rsidR="006C280B" w:rsidRPr="00906EA7" w:rsidRDefault="006C280B" w:rsidP="0097253F">
      <w:pPr>
        <w:spacing w:after="0" w:line="240" w:lineRule="auto"/>
        <w:ind w:firstLine="709"/>
        <w:jc w:val="both"/>
        <w:rPr>
          <w:rFonts w:ascii="Times New Roman" w:hAnsi="Times New Roman"/>
          <w:sz w:val="24"/>
          <w:szCs w:val="24"/>
        </w:rPr>
      </w:pPr>
      <w:r w:rsidRPr="00906EA7">
        <w:rPr>
          <w:rFonts w:ascii="Times New Roman" w:hAnsi="Times New Roman"/>
          <w:sz w:val="24"/>
          <w:szCs w:val="24"/>
        </w:rPr>
        <w:t xml:space="preserve">«Инвестиционная политика» </w:t>
      </w:r>
      <w:r w:rsidRPr="00906EA7">
        <w:rPr>
          <w:rFonts w:ascii="Times New Roman" w:hAnsi="Times New Roman" w:cs="Times New Roman"/>
          <w:sz w:val="24"/>
          <w:szCs w:val="24"/>
        </w:rPr>
        <w:t>–</w:t>
      </w:r>
      <w:r w:rsidRPr="00906EA7">
        <w:rPr>
          <w:rFonts w:ascii="Times New Roman" w:hAnsi="Times New Roman"/>
          <w:sz w:val="24"/>
          <w:szCs w:val="24"/>
        </w:rPr>
        <w:t xml:space="preserve"> размещается информация стратегического развития;</w:t>
      </w:r>
    </w:p>
    <w:p w:rsidR="006C280B" w:rsidRPr="00906EA7" w:rsidRDefault="006C280B" w:rsidP="0097253F">
      <w:pPr>
        <w:spacing w:after="0" w:line="240" w:lineRule="auto"/>
        <w:ind w:firstLine="709"/>
        <w:jc w:val="both"/>
        <w:rPr>
          <w:rFonts w:ascii="Times New Roman" w:hAnsi="Times New Roman"/>
          <w:sz w:val="24"/>
          <w:szCs w:val="24"/>
        </w:rPr>
      </w:pPr>
      <w:r w:rsidRPr="00906EA7">
        <w:rPr>
          <w:rFonts w:ascii="Times New Roman" w:hAnsi="Times New Roman"/>
          <w:sz w:val="24"/>
          <w:szCs w:val="24"/>
        </w:rPr>
        <w:t xml:space="preserve">«Инвестиционный потенциал» </w:t>
      </w:r>
      <w:r w:rsidRPr="00906EA7">
        <w:rPr>
          <w:rFonts w:ascii="Times New Roman" w:hAnsi="Times New Roman" w:cs="Times New Roman"/>
          <w:sz w:val="24"/>
          <w:szCs w:val="24"/>
        </w:rPr>
        <w:t>–</w:t>
      </w:r>
      <w:r w:rsidRPr="00906EA7">
        <w:rPr>
          <w:rFonts w:ascii="Times New Roman" w:hAnsi="Times New Roman"/>
          <w:sz w:val="24"/>
          <w:szCs w:val="24"/>
        </w:rPr>
        <w:t xml:space="preserve"> размещается информация об инвестиционных проектах, инвестиционных предложениях (площадках);</w:t>
      </w:r>
    </w:p>
    <w:p w:rsidR="006C280B" w:rsidRPr="00906EA7" w:rsidRDefault="006C280B" w:rsidP="0097253F">
      <w:pPr>
        <w:spacing w:after="0" w:line="240" w:lineRule="auto"/>
        <w:ind w:firstLine="709"/>
        <w:jc w:val="both"/>
        <w:rPr>
          <w:rFonts w:ascii="Times New Roman" w:hAnsi="Times New Roman"/>
          <w:sz w:val="24"/>
          <w:szCs w:val="24"/>
        </w:rPr>
      </w:pPr>
      <w:r w:rsidRPr="00906EA7">
        <w:rPr>
          <w:rFonts w:ascii="Times New Roman" w:hAnsi="Times New Roman"/>
          <w:sz w:val="24"/>
          <w:szCs w:val="24"/>
        </w:rPr>
        <w:t xml:space="preserve">«Инвестору» </w:t>
      </w:r>
      <w:r w:rsidRPr="00906EA7">
        <w:rPr>
          <w:rFonts w:ascii="Times New Roman" w:hAnsi="Times New Roman" w:cs="Times New Roman"/>
          <w:sz w:val="24"/>
          <w:szCs w:val="24"/>
        </w:rPr>
        <w:t>–</w:t>
      </w:r>
      <w:r w:rsidRPr="00906EA7">
        <w:rPr>
          <w:rFonts w:ascii="Times New Roman" w:hAnsi="Times New Roman"/>
          <w:sz w:val="24"/>
          <w:szCs w:val="24"/>
        </w:rPr>
        <w:t xml:space="preserve"> разработаны и размещены сервисы поддержки инвестиционного климата.</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Администрацией города постоянно ведется работа по выстраиванию эффективного диалога власти и бизнеса. Регулярными становятся встречи администрации города с представителями бизнес-сообщества, институтов развития и финансовых организаций.</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w:t>
      </w:r>
      <w:r w:rsidRPr="00906EA7">
        <w:rPr>
          <w:rFonts w:ascii="Times New Roman" w:eastAsia="Times New Roman" w:hAnsi="Times New Roman" w:cs="Times New Roman"/>
          <w:sz w:val="24"/>
          <w:szCs w:val="24"/>
          <w:lang w:eastAsia="ru-RU"/>
        </w:rPr>
        <w:t>привлечения инвестиций и расширения взаимодействия с бизнес-сообществом в городском округе в отчетном периоде заключены следующие с</w:t>
      </w:r>
      <w:r w:rsidRPr="00906EA7">
        <w:rPr>
          <w:rFonts w:ascii="Times New Roman" w:hAnsi="Times New Roman" w:cs="Times New Roman"/>
          <w:sz w:val="24"/>
          <w:szCs w:val="24"/>
        </w:rPr>
        <w:t>оглашения:</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 взаимодействии между администрацией города и обществом с ограниченной ответственностью «ПрофСтройГарант» от 31.01.2019г. №02/2-08/2;</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 взаимодействии между администрацией города и обществом с ограниченной ответственностью «Западно-Сибирская строительная компания «Лидер».</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целях обеспечения взаимодействия органов местного самоуправления с населением муниципального образования, организациями, осуществляющими деятельность на территории городского округа создан Совет руководителей при главе города.</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2019 году проведено 2 заседания Совета руководителей на которых обсуждались актуальные вопросы развития города Мегиона, о благоустройстве территорий города и пгт Высокий.</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Администрация города продолжила реализацию наиболее значимых мероприятий на принципах проектного управления.</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Приоритетом в деятельности органов администрации стала работа в рамках реализации национальных проектов (программ) и федеральных проектов, определенных Указом Президента Российской Федерации от 07.05.2018 №204, город Мегион принимает участие в реализации национальных проектов по 6 направлениям:</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 инициативы;</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Культура;</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Экология;</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Жилье и городская среда;</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Образование;</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Демография.</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Финансирование, необходимое для достижения показателей и результатов указанных проектов, утверждено в муниципальных программах.</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Реализация национальных проектов на территории городского округа, осуществлялась в составе мероприятий муниципальных программ, которыми запланированы показатели, направленные на достижение целей и задач, установленных указами Президента Российской Федерации.</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итогам года целевые показатели, а также мероприятия, направленные на достижение поставленных целей и задач, достигнуты и исполнены в полном объеме.</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Город Мегион продолжил участие в реализации целевых моделей упрощения процедур ведения бизнеса и повышения инвестиционной привлекательности, определенных перечнем поручений Президента Российской Федерации.</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 xml:space="preserve">В рамках региональных составляющих (проектов) в сфере жилищно-коммунального хозяйства продолжена реализация регионального портфеля проектов, основанного на федеральном приоритетном проекте </w:t>
      </w:r>
      <w:r w:rsidRPr="00906EA7">
        <w:rPr>
          <w:rFonts w:ascii="Times New Roman" w:hAnsi="Times New Roman" w:cs="Times New Roman"/>
          <w:sz w:val="24"/>
          <w:szCs w:val="24"/>
        </w:rPr>
        <w:t>–</w:t>
      </w:r>
      <w:r w:rsidRPr="00906EA7">
        <w:rPr>
          <w:rFonts w:ascii="Times New Roman" w:eastAsia="Times New Roman" w:hAnsi="Times New Roman" w:cs="Times New Roman"/>
          <w:sz w:val="24"/>
          <w:szCs w:val="24"/>
          <w:lang w:eastAsia="ru-RU"/>
        </w:rPr>
        <w:t xml:space="preserve"> «Обеспечение качества жилищно-коммунальных услуг».</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состоянию на конец 2019 года в администрации города осуществлялась реализация 2 муниципальных проектов, запущенных в рамках проектного управления в 2017 году:</w:t>
      </w:r>
      <w:r w:rsidRPr="00906EA7">
        <w:rPr>
          <w:rFonts w:ascii="Times New Roman" w:eastAsia="Times New Roman" w:hAnsi="Times New Roman" w:cs="Times New Roman"/>
          <w:sz w:val="24"/>
          <w:szCs w:val="24"/>
          <w:lang w:eastAsia="ru-RU"/>
        </w:rPr>
        <w:tab/>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1.Средняя общеобразовательная школа на 1600 учащихся по адресу г.Мегион, XX микрорайон (общеобразовательная организация с углубленным изучением отдельных предметов с универсальной безбарьерной средой).</w:t>
      </w:r>
      <w:r w:rsidRPr="00906EA7">
        <w:rPr>
          <w:sz w:val="24"/>
          <w:szCs w:val="24"/>
        </w:rPr>
        <w:t xml:space="preserve"> </w:t>
      </w:r>
      <w:r w:rsidRPr="00906EA7">
        <w:rPr>
          <w:rFonts w:ascii="Times New Roman" w:eastAsia="Times New Roman" w:hAnsi="Times New Roman" w:cs="Times New Roman"/>
          <w:sz w:val="24"/>
          <w:szCs w:val="24"/>
          <w:lang w:eastAsia="ru-RU"/>
        </w:rPr>
        <w:t>Дата окончания реализации проекта – 11.05.2022.</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2.Школа в пгт Высокий на 300 учащихся (Общеобразовательная организация с углубленным изучением отдельных предметов с универсальной безбарьерной средой). В настоящее время проект находится в стадии досрочного завершения реализации. </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2019 году досрочно завершена реализация 1 муниципального проекта – «Внедрение механизма заключения договора о комплексном освоении территории на примере микрорайона СУ-43 городского округа город Мегион».</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Применение механизма проектного управления позволяет повысить качество планирования реализации проектов, оценивать и своевременно реагировать на возможные риски, четко распределить задачи между специалистами администрации города и подведомственных учреждений, определить персональную ответственность служащих за достижение необходимых показателей, а также обеспечить должный уровень контроля и своевременность принятия управленческих решений.</w:t>
      </w:r>
    </w:p>
    <w:p w:rsidR="00522531" w:rsidRPr="00906EA7" w:rsidRDefault="00522531" w:rsidP="0097253F">
      <w:pPr>
        <w:shd w:val="clear" w:color="auto" w:fill="FFFFFF"/>
        <w:spacing w:after="0" w:line="240" w:lineRule="auto"/>
        <w:jc w:val="both"/>
        <w:rPr>
          <w:rFonts w:ascii="Times New Roman" w:eastAsia="Times New Roman" w:hAnsi="Times New Roman" w:cs="Times New Roman"/>
          <w:sz w:val="24"/>
          <w:szCs w:val="24"/>
          <w:lang w:eastAsia="ru-RU"/>
        </w:rPr>
      </w:pPr>
    </w:p>
    <w:p w:rsidR="00522531" w:rsidRPr="00906EA7" w:rsidRDefault="00522531"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Строительство</w:t>
      </w:r>
    </w:p>
    <w:p w:rsidR="00522531" w:rsidRPr="00906EA7" w:rsidRDefault="00522531" w:rsidP="0097253F">
      <w:pPr>
        <w:spacing w:after="0" w:line="240" w:lineRule="auto"/>
        <w:ind w:firstLine="709"/>
        <w:jc w:val="both"/>
        <w:rPr>
          <w:rFonts w:ascii="Times New Roman" w:eastAsia="Times New Roman" w:hAnsi="Times New Roman" w:cs="Times New Roman"/>
          <w:sz w:val="24"/>
          <w:szCs w:val="24"/>
          <w:lang w:eastAsia="ru-RU"/>
        </w:rPr>
      </w:pPr>
    </w:p>
    <w:p w:rsidR="00522531" w:rsidRPr="00906EA7" w:rsidRDefault="00522531"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522531" w:rsidRPr="00906EA7" w:rsidRDefault="00522531"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выполненных работ по виду экономической деятельности «Строительство» без учета субъектов ма</w:t>
      </w:r>
      <w:r w:rsidR="001B5D76" w:rsidRPr="00906EA7">
        <w:rPr>
          <w:rFonts w:ascii="Times New Roman" w:eastAsia="Times New Roman" w:hAnsi="Times New Roman" w:cs="Times New Roman"/>
          <w:sz w:val="24"/>
          <w:szCs w:val="24"/>
          <w:lang w:eastAsia="ru-RU"/>
        </w:rPr>
        <w:t>лого предпринимательства за 2019</w:t>
      </w:r>
      <w:r w:rsidRPr="00906EA7">
        <w:rPr>
          <w:rFonts w:ascii="Times New Roman" w:eastAsia="Times New Roman" w:hAnsi="Times New Roman" w:cs="Times New Roman"/>
          <w:sz w:val="24"/>
          <w:szCs w:val="24"/>
          <w:lang w:eastAsia="ru-RU"/>
        </w:rPr>
        <w:t xml:space="preserve"> год составил </w:t>
      </w:r>
      <w:r w:rsidR="00BE3C77" w:rsidRPr="00906EA7">
        <w:rPr>
          <w:rFonts w:ascii="Times New Roman" w:eastAsia="Times New Roman" w:hAnsi="Times New Roman" w:cs="Times New Roman"/>
          <w:sz w:val="24"/>
          <w:szCs w:val="24"/>
          <w:lang w:eastAsia="ru-RU"/>
        </w:rPr>
        <w:t>3 987,2</w:t>
      </w:r>
      <w:r w:rsidR="00177661" w:rsidRPr="00906EA7">
        <w:rPr>
          <w:rFonts w:ascii="Times New Roman" w:eastAsia="Times New Roman" w:hAnsi="Times New Roman" w:cs="Times New Roman"/>
          <w:sz w:val="24"/>
          <w:szCs w:val="24"/>
          <w:lang w:eastAsia="ru-RU"/>
        </w:rPr>
        <w:t xml:space="preserve"> млн руб</w:t>
      </w:r>
      <w:r w:rsidR="005D5C16" w:rsidRPr="00906EA7">
        <w:rPr>
          <w:rFonts w:ascii="Times New Roman" w:eastAsia="Times New Roman" w:hAnsi="Times New Roman" w:cs="Times New Roman"/>
          <w:sz w:val="24"/>
          <w:szCs w:val="24"/>
          <w:lang w:eastAsia="ru-RU"/>
        </w:rPr>
        <w:t>.</w:t>
      </w:r>
      <w:r w:rsidR="00177661"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w:t>
      </w:r>
      <w:r w:rsidR="00BE3C77" w:rsidRPr="00906EA7">
        <w:rPr>
          <w:rFonts w:ascii="Times New Roman" w:eastAsia="Times New Roman" w:hAnsi="Times New Roman" w:cs="Times New Roman"/>
          <w:sz w:val="24"/>
          <w:szCs w:val="24"/>
          <w:lang w:eastAsia="ru-RU"/>
        </w:rPr>
        <w:t>100,7</w:t>
      </w:r>
      <w:r w:rsidRPr="00906EA7">
        <w:rPr>
          <w:rFonts w:ascii="Times New Roman" w:eastAsia="Times New Roman" w:hAnsi="Times New Roman" w:cs="Times New Roman"/>
          <w:sz w:val="24"/>
          <w:szCs w:val="24"/>
          <w:lang w:eastAsia="ru-RU"/>
        </w:rPr>
        <w:t xml:space="preserve">% к уровню </w:t>
      </w:r>
      <w:r w:rsidR="001B5D76" w:rsidRPr="00906EA7">
        <w:rPr>
          <w:rFonts w:ascii="Times New Roman" w:eastAsia="Times New Roman" w:hAnsi="Times New Roman" w:cs="Times New Roman"/>
          <w:sz w:val="24"/>
          <w:szCs w:val="24"/>
          <w:lang w:eastAsia="ru-RU"/>
        </w:rPr>
        <w:t>2018</w:t>
      </w:r>
      <w:r w:rsidR="00EC5C48" w:rsidRPr="00906EA7">
        <w:rPr>
          <w:rFonts w:ascii="Times New Roman" w:eastAsia="Times New Roman" w:hAnsi="Times New Roman" w:cs="Times New Roman"/>
          <w:sz w:val="24"/>
          <w:szCs w:val="24"/>
          <w:lang w:eastAsia="ru-RU"/>
        </w:rPr>
        <w:t xml:space="preserve"> года в действующих</w:t>
      </w:r>
      <w:r w:rsidRPr="00906EA7">
        <w:rPr>
          <w:rFonts w:ascii="Times New Roman" w:eastAsia="Times New Roman" w:hAnsi="Times New Roman" w:cs="Times New Roman"/>
          <w:sz w:val="24"/>
          <w:szCs w:val="24"/>
          <w:lang w:eastAsia="ru-RU"/>
        </w:rPr>
        <w:t xml:space="preserve"> ценах.</w:t>
      </w:r>
    </w:p>
    <w:p w:rsidR="00522531" w:rsidRPr="00906EA7" w:rsidRDefault="00522531" w:rsidP="0097253F">
      <w:pPr>
        <w:tabs>
          <w:tab w:val="left" w:pos="6845"/>
        </w:tabs>
        <w:spacing w:after="0" w:line="240" w:lineRule="auto"/>
        <w:jc w:val="center"/>
        <w:rPr>
          <w:rFonts w:ascii="Times New Roman" w:eastAsia="Times New Roman" w:hAnsi="Times New Roman" w:cs="Times New Roman"/>
          <w:sz w:val="24"/>
          <w:szCs w:val="24"/>
          <w:lang w:eastAsia="ru-RU"/>
        </w:rPr>
      </w:pPr>
    </w:p>
    <w:p w:rsidR="00522531" w:rsidRPr="00906EA7" w:rsidRDefault="00522531" w:rsidP="0097253F">
      <w:pPr>
        <w:tabs>
          <w:tab w:val="left" w:pos="684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Объём работ, выполненных крупными и средними предприятиями и организациями</w:t>
      </w:r>
    </w:p>
    <w:p w:rsidR="00522531" w:rsidRPr="00906EA7" w:rsidRDefault="00522531" w:rsidP="0097253F">
      <w:pPr>
        <w:tabs>
          <w:tab w:val="left" w:pos="6845"/>
        </w:tabs>
        <w:spacing w:after="0" w:line="240" w:lineRule="auto"/>
        <w:ind w:firstLine="72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виду деят</w:t>
      </w:r>
      <w:r w:rsidR="001B5D76" w:rsidRPr="00906EA7">
        <w:rPr>
          <w:rFonts w:ascii="Times New Roman" w:eastAsia="Times New Roman" w:hAnsi="Times New Roman" w:cs="Times New Roman"/>
          <w:sz w:val="24"/>
          <w:szCs w:val="24"/>
          <w:lang w:eastAsia="ru-RU"/>
        </w:rPr>
        <w:t>ельности «Строительство» за 2017-2019</w:t>
      </w:r>
      <w:r w:rsidRPr="00906EA7">
        <w:rPr>
          <w:rFonts w:ascii="Times New Roman" w:eastAsia="Times New Roman" w:hAnsi="Times New Roman" w:cs="Times New Roman"/>
          <w:sz w:val="24"/>
          <w:szCs w:val="24"/>
          <w:lang w:eastAsia="ru-RU"/>
        </w:rPr>
        <w:t xml:space="preserve"> годы</w:t>
      </w:r>
    </w:p>
    <w:p w:rsidR="00522531" w:rsidRPr="00906EA7" w:rsidRDefault="00522531" w:rsidP="0097253F">
      <w:pPr>
        <w:tabs>
          <w:tab w:val="left" w:pos="6845"/>
        </w:tabs>
        <w:spacing w:after="0" w:line="240" w:lineRule="auto"/>
        <w:ind w:firstLine="720"/>
        <w:jc w:val="center"/>
        <w:rPr>
          <w:rFonts w:ascii="Times New Roman" w:eastAsia="Times New Roman" w:hAnsi="Times New Roman" w:cs="Times New Roman"/>
          <w:sz w:val="24"/>
          <w:szCs w:val="24"/>
          <w:lang w:eastAsia="ru-RU"/>
        </w:rPr>
      </w:pPr>
    </w:p>
    <w:p w:rsidR="00522531" w:rsidRPr="00906EA7" w:rsidRDefault="003E2806" w:rsidP="0097253F">
      <w:pPr>
        <w:spacing w:after="0" w:line="240" w:lineRule="auto"/>
        <w:ind w:firstLine="709"/>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млн руб.</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85"/>
        <w:gridCol w:w="1359"/>
        <w:gridCol w:w="1485"/>
        <w:gridCol w:w="1352"/>
      </w:tblGrid>
      <w:tr w:rsidR="004A2451" w:rsidRPr="00906EA7" w:rsidTr="00522531">
        <w:trPr>
          <w:trHeight w:val="130"/>
        </w:trPr>
        <w:tc>
          <w:tcPr>
            <w:tcW w:w="4110" w:type="dxa"/>
            <w:tcBorders>
              <w:top w:val="single" w:sz="4" w:space="0" w:color="auto"/>
              <w:left w:val="single" w:sz="4" w:space="0" w:color="auto"/>
              <w:bottom w:val="single" w:sz="4" w:space="0" w:color="auto"/>
              <w:right w:val="single" w:sz="4" w:space="0" w:color="auto"/>
            </w:tcBorders>
            <w:vAlign w:val="center"/>
          </w:tcPr>
          <w:p w:rsidR="00522531" w:rsidRPr="00906EA7" w:rsidRDefault="00522531" w:rsidP="0097253F">
            <w:pPr>
              <w:spacing w:after="0" w:line="240" w:lineRule="auto"/>
              <w:jc w:val="center"/>
              <w:rPr>
                <w:rFonts w:ascii="Times New Roman" w:eastAsia="Calibri"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2017</w:t>
            </w:r>
            <w:r w:rsidR="00522531" w:rsidRPr="00906EA7">
              <w:rPr>
                <w:rFonts w:ascii="Times New Roman" w:eastAsia="Calibri" w:hAnsi="Times New Roman" w:cs="Times New Roman"/>
                <w:sz w:val="20"/>
                <w:szCs w:val="20"/>
              </w:rPr>
              <w:t xml:space="preserve">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2018</w:t>
            </w:r>
            <w:r w:rsidR="00522531" w:rsidRPr="00906EA7">
              <w:rPr>
                <w:rFonts w:ascii="Times New Roman" w:eastAsia="Calibri" w:hAnsi="Times New Roman" w:cs="Times New Roman"/>
                <w:sz w:val="20"/>
                <w:szCs w:val="20"/>
              </w:rPr>
              <w:t xml:space="preserve"> год</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2019</w:t>
            </w:r>
            <w:r w:rsidR="00522531" w:rsidRPr="00906EA7">
              <w:rPr>
                <w:rFonts w:ascii="Times New Roman" w:eastAsia="Calibri" w:hAnsi="Times New Roman" w:cs="Times New Roman"/>
                <w:sz w:val="20"/>
                <w:szCs w:val="20"/>
              </w:rPr>
              <w:t xml:space="preserve"> год</w:t>
            </w:r>
          </w:p>
        </w:tc>
        <w:tc>
          <w:tcPr>
            <w:tcW w:w="1352" w:type="dxa"/>
            <w:tcBorders>
              <w:top w:val="single" w:sz="4" w:space="0" w:color="auto"/>
              <w:left w:val="single" w:sz="4" w:space="0" w:color="auto"/>
              <w:bottom w:val="single" w:sz="4" w:space="0" w:color="auto"/>
              <w:right w:val="single" w:sz="4" w:space="0" w:color="auto"/>
            </w:tcBorders>
            <w:hideMark/>
          </w:tcPr>
          <w:p w:rsidR="00522531" w:rsidRPr="00906EA7" w:rsidRDefault="00522531" w:rsidP="0097253F">
            <w:pPr>
              <w:spacing w:after="0" w:line="240" w:lineRule="auto"/>
              <w:jc w:val="center"/>
              <w:rPr>
                <w:rFonts w:ascii="Times New Roman" w:eastAsia="Calibri" w:hAnsi="Times New Roman" w:cs="Times New Roman"/>
                <w:sz w:val="20"/>
                <w:szCs w:val="20"/>
              </w:rPr>
            </w:pPr>
            <w:r w:rsidRPr="00906EA7">
              <w:rPr>
                <w:rFonts w:ascii="Times New Roman" w:eastAsia="Times New Roman" w:hAnsi="Times New Roman" w:cs="Times New Roman"/>
                <w:sz w:val="20"/>
                <w:szCs w:val="20"/>
                <w:lang w:eastAsia="ru-RU"/>
              </w:rPr>
              <w:t>Темп роста (снижения)</w:t>
            </w:r>
            <w:r w:rsidRPr="00906EA7">
              <w:rPr>
                <w:rFonts w:ascii="Times New Roman" w:eastAsia="Calibri" w:hAnsi="Times New Roman" w:cs="Times New Roman"/>
                <w:sz w:val="20"/>
                <w:szCs w:val="20"/>
              </w:rPr>
              <w:t>%</w:t>
            </w:r>
          </w:p>
        </w:tc>
      </w:tr>
      <w:tr w:rsidR="00522531" w:rsidRPr="00906EA7" w:rsidTr="00522531">
        <w:trPr>
          <w:trHeight w:val="278"/>
        </w:trPr>
        <w:tc>
          <w:tcPr>
            <w:tcW w:w="4110"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rPr>
                <w:rFonts w:ascii="Times New Roman" w:eastAsia="Calibri" w:hAnsi="Times New Roman" w:cs="Times New Roman"/>
                <w:sz w:val="24"/>
              </w:rPr>
            </w:pPr>
            <w:r w:rsidRPr="00906EA7">
              <w:rPr>
                <w:rFonts w:ascii="Times New Roman" w:eastAsia="Calibri" w:hAnsi="Times New Roman" w:cs="Times New Roman"/>
                <w:sz w:val="24"/>
              </w:rPr>
              <w:t>Объем работ, выполненных по виду деятельности «Строительство»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4"/>
              </w:rPr>
            </w:pPr>
            <w:r w:rsidRPr="00906EA7">
              <w:rPr>
                <w:rFonts w:ascii="Times New Roman" w:eastAsia="Calibri" w:hAnsi="Times New Roman" w:cs="Times New Roman"/>
                <w:sz w:val="24"/>
              </w:rPr>
              <w:t>4</w:t>
            </w:r>
            <w:r w:rsidR="00E6448B" w:rsidRPr="00906EA7">
              <w:rPr>
                <w:rFonts w:ascii="Times New Roman" w:eastAsia="Calibri" w:hAnsi="Times New Roman" w:cs="Times New Roman"/>
                <w:sz w:val="24"/>
                <w:lang w:val="en-US"/>
              </w:rPr>
              <w:t xml:space="preserve"> </w:t>
            </w:r>
            <w:r w:rsidRPr="00906EA7">
              <w:rPr>
                <w:rFonts w:ascii="Times New Roman" w:eastAsia="Calibri" w:hAnsi="Times New Roman" w:cs="Times New Roman"/>
                <w:sz w:val="24"/>
              </w:rPr>
              <w:t>409,3</w:t>
            </w:r>
          </w:p>
        </w:tc>
        <w:tc>
          <w:tcPr>
            <w:tcW w:w="1359"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4"/>
              </w:rPr>
            </w:pPr>
            <w:r w:rsidRPr="00906EA7">
              <w:rPr>
                <w:rFonts w:ascii="Times New Roman" w:eastAsia="Calibri" w:hAnsi="Times New Roman" w:cs="Times New Roman"/>
                <w:sz w:val="24"/>
              </w:rPr>
              <w:t>3</w:t>
            </w:r>
            <w:r w:rsidR="00E6448B" w:rsidRPr="00906EA7">
              <w:rPr>
                <w:rFonts w:ascii="Times New Roman" w:eastAsia="Calibri" w:hAnsi="Times New Roman" w:cs="Times New Roman"/>
                <w:sz w:val="24"/>
                <w:lang w:val="en-US"/>
              </w:rPr>
              <w:t xml:space="preserve"> </w:t>
            </w:r>
            <w:r w:rsidRPr="00906EA7">
              <w:rPr>
                <w:rFonts w:ascii="Times New Roman" w:eastAsia="Calibri" w:hAnsi="Times New Roman" w:cs="Times New Roman"/>
                <w:sz w:val="24"/>
              </w:rPr>
              <w:t>960,9</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766666" w:rsidP="0097253F">
            <w:pPr>
              <w:spacing w:after="0" w:line="240" w:lineRule="auto"/>
              <w:jc w:val="center"/>
              <w:rPr>
                <w:rFonts w:ascii="Times New Roman" w:eastAsia="Calibri" w:hAnsi="Times New Roman" w:cs="Times New Roman"/>
                <w:sz w:val="24"/>
              </w:rPr>
            </w:pPr>
            <w:r w:rsidRPr="00906EA7">
              <w:rPr>
                <w:rFonts w:ascii="Times New Roman" w:eastAsia="Calibri" w:hAnsi="Times New Roman" w:cs="Times New Roman"/>
                <w:sz w:val="24"/>
              </w:rPr>
              <w:t>3</w:t>
            </w:r>
            <w:r w:rsidR="00E6448B" w:rsidRPr="00906EA7">
              <w:rPr>
                <w:rFonts w:ascii="Times New Roman" w:eastAsia="Calibri" w:hAnsi="Times New Roman" w:cs="Times New Roman"/>
                <w:sz w:val="24"/>
                <w:lang w:val="en-US"/>
              </w:rPr>
              <w:t xml:space="preserve"> </w:t>
            </w:r>
            <w:r w:rsidRPr="00906EA7">
              <w:rPr>
                <w:rFonts w:ascii="Times New Roman" w:eastAsia="Calibri" w:hAnsi="Times New Roman" w:cs="Times New Roman"/>
                <w:sz w:val="24"/>
              </w:rPr>
              <w:t>987,2</w:t>
            </w:r>
          </w:p>
        </w:tc>
        <w:tc>
          <w:tcPr>
            <w:tcW w:w="1352" w:type="dxa"/>
            <w:tcBorders>
              <w:top w:val="single" w:sz="4" w:space="0" w:color="auto"/>
              <w:left w:val="single" w:sz="4" w:space="0" w:color="auto"/>
              <w:bottom w:val="single" w:sz="4" w:space="0" w:color="auto"/>
              <w:right w:val="single" w:sz="4" w:space="0" w:color="auto"/>
            </w:tcBorders>
            <w:vAlign w:val="center"/>
          </w:tcPr>
          <w:p w:rsidR="00522531" w:rsidRPr="00906EA7" w:rsidRDefault="00766666" w:rsidP="0097253F">
            <w:pPr>
              <w:spacing w:after="0" w:line="240" w:lineRule="auto"/>
              <w:jc w:val="center"/>
              <w:rPr>
                <w:rFonts w:ascii="Times New Roman" w:eastAsia="Calibri" w:hAnsi="Times New Roman" w:cs="Times New Roman"/>
                <w:sz w:val="24"/>
              </w:rPr>
            </w:pPr>
            <w:r w:rsidRPr="00906EA7">
              <w:rPr>
                <w:rFonts w:ascii="Times New Roman" w:eastAsia="Calibri" w:hAnsi="Times New Roman" w:cs="Times New Roman"/>
                <w:sz w:val="24"/>
              </w:rPr>
              <w:t>100,7</w:t>
            </w:r>
          </w:p>
        </w:tc>
      </w:tr>
    </w:tbl>
    <w:p w:rsidR="00522531" w:rsidRPr="00906EA7" w:rsidRDefault="00522531"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22531" w:rsidRPr="00906EA7" w:rsidRDefault="00522531"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территории городского округа город Мегион в течение отчетного периода велось строительство объектов в рамках государственных и муниципальных программ.</w:t>
      </w:r>
    </w:p>
    <w:p w:rsidR="00522531" w:rsidRPr="00906EA7" w:rsidRDefault="001B5D76" w:rsidP="0097253F">
      <w:pPr>
        <w:widowControl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2019</w:t>
      </w:r>
      <w:r w:rsidR="00522531" w:rsidRPr="00906EA7">
        <w:rPr>
          <w:rFonts w:ascii="Times New Roman" w:eastAsia="Times New Roman" w:hAnsi="Times New Roman" w:cs="Times New Roman"/>
          <w:sz w:val="24"/>
          <w:szCs w:val="24"/>
          <w:lang w:eastAsia="ru-RU"/>
        </w:rPr>
        <w:t xml:space="preserve"> году в Адресную инвестиционную програм</w:t>
      </w:r>
      <w:r w:rsidRPr="00906EA7">
        <w:rPr>
          <w:rFonts w:ascii="Times New Roman" w:eastAsia="Times New Roman" w:hAnsi="Times New Roman" w:cs="Times New Roman"/>
          <w:sz w:val="24"/>
          <w:szCs w:val="24"/>
          <w:lang w:eastAsia="ru-RU"/>
        </w:rPr>
        <w:t>му автономного округа включены 2</w:t>
      </w:r>
      <w:r w:rsidR="00522531" w:rsidRPr="00906EA7">
        <w:rPr>
          <w:rFonts w:ascii="Times New Roman" w:eastAsia="Times New Roman" w:hAnsi="Times New Roman" w:cs="Times New Roman"/>
          <w:sz w:val="24"/>
          <w:szCs w:val="24"/>
          <w:lang w:eastAsia="ru-RU"/>
        </w:rPr>
        <w:t xml:space="preserve"> объекта городского округа:</w:t>
      </w:r>
    </w:p>
    <w:p w:rsidR="001B5D76" w:rsidRPr="00906EA7" w:rsidRDefault="001B5D76" w:rsidP="0097253F">
      <w:pPr>
        <w:widowControl w:val="0"/>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rPr>
        <w:t>спортивный центр с универсальным игровым залом и плоскостными сооружениями в рамках Государственной программы Ханты-Мансийского автономного округа - Югры «Развитие физической культуры и спорта»;</w:t>
      </w:r>
    </w:p>
    <w:p w:rsidR="001B5D76" w:rsidRPr="00906EA7" w:rsidRDefault="001B5D76" w:rsidP="0097253F">
      <w:pPr>
        <w:widowControl w:val="0"/>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rPr>
        <w:t>участок тепловых сетей 2 Ø800 мм в 12 микрорайоне в рамках Государственной программы Ханты-Мансийского автономного округа – Югры «Развитие жилищной сферы».</w:t>
      </w:r>
    </w:p>
    <w:p w:rsidR="009C5797" w:rsidRPr="00906EA7" w:rsidRDefault="00522531" w:rsidP="0097253F">
      <w:pPr>
        <w:widowControl w:val="0"/>
        <w:tabs>
          <w:tab w:val="left" w:pos="2340"/>
        </w:tabs>
        <w:spacing w:after="0" w:line="240" w:lineRule="auto"/>
        <w:ind w:firstLine="709"/>
        <w:jc w:val="both"/>
        <w:rPr>
          <w:rFonts w:ascii="Times New Roman" w:hAnsi="Times New Roman"/>
          <w:sz w:val="24"/>
          <w:szCs w:val="24"/>
        </w:rPr>
      </w:pPr>
      <w:r w:rsidRPr="00906EA7">
        <w:rPr>
          <w:rFonts w:ascii="Times New Roman" w:hAnsi="Times New Roman"/>
          <w:sz w:val="24"/>
          <w:szCs w:val="24"/>
        </w:rPr>
        <w:t>В рамках муниципальной программы «</w:t>
      </w:r>
      <w:r w:rsidRPr="00906EA7">
        <w:rPr>
          <w:rFonts w:ascii="Times New Roman" w:eastAsia="Times New Roman" w:hAnsi="Times New Roman"/>
          <w:sz w:val="24"/>
          <w:szCs w:val="24"/>
          <w:lang w:eastAsia="ru-RU"/>
        </w:rPr>
        <w:t xml:space="preserve">Развитие физической культуры и спорта в муниципальном </w:t>
      </w:r>
      <w:r w:rsidR="009C5797" w:rsidRPr="00906EA7">
        <w:rPr>
          <w:rFonts w:ascii="Times New Roman" w:eastAsia="Times New Roman" w:hAnsi="Times New Roman"/>
          <w:sz w:val="24"/>
          <w:szCs w:val="24"/>
          <w:lang w:eastAsia="ru-RU"/>
        </w:rPr>
        <w:t>образовании город Мегион на 2019 - 2025</w:t>
      </w:r>
      <w:r w:rsidRPr="00906EA7">
        <w:rPr>
          <w:rFonts w:ascii="Times New Roman" w:eastAsia="Times New Roman" w:hAnsi="Times New Roman"/>
          <w:sz w:val="24"/>
          <w:szCs w:val="24"/>
          <w:lang w:eastAsia="ru-RU"/>
        </w:rPr>
        <w:t xml:space="preserve"> годы» выполнены строительно-</w:t>
      </w:r>
      <w:r w:rsidRPr="00906EA7">
        <w:rPr>
          <w:rFonts w:ascii="Times New Roman" w:eastAsia="Times New Roman" w:hAnsi="Times New Roman"/>
          <w:sz w:val="24"/>
          <w:szCs w:val="24"/>
          <w:lang w:eastAsia="ru-RU"/>
        </w:rPr>
        <w:lastRenderedPageBreak/>
        <w:t>монтажные работы по объекту «</w:t>
      </w:r>
      <w:r w:rsidRPr="00906EA7">
        <w:rPr>
          <w:rFonts w:ascii="Times New Roman" w:hAnsi="Times New Roman" w:cs="Times New Roman"/>
          <w:sz w:val="24"/>
          <w:szCs w:val="24"/>
        </w:rPr>
        <w:t>Спортивный центр с универсальным игровым зало</w:t>
      </w:r>
      <w:r w:rsidR="009C5797" w:rsidRPr="00906EA7">
        <w:rPr>
          <w:rFonts w:ascii="Times New Roman" w:hAnsi="Times New Roman" w:cs="Times New Roman"/>
          <w:sz w:val="24"/>
          <w:szCs w:val="24"/>
        </w:rPr>
        <w:t xml:space="preserve">м и плоскостными сооружениями». </w:t>
      </w:r>
      <w:r w:rsidR="009C5797" w:rsidRPr="00906EA7">
        <w:rPr>
          <w:rFonts w:ascii="Times New Roman" w:hAnsi="Times New Roman"/>
          <w:sz w:val="24"/>
          <w:szCs w:val="24"/>
        </w:rPr>
        <w:t>Работы выполнены в полном объеме, получено разрешение на ввод объекта в эксплуатацию от 01.11.2019 №86-</w:t>
      </w:r>
      <w:r w:rsidR="009C5797" w:rsidRPr="00906EA7">
        <w:rPr>
          <w:rFonts w:ascii="Times New Roman" w:hAnsi="Times New Roman"/>
          <w:sz w:val="24"/>
          <w:szCs w:val="24"/>
          <w:lang w:val="en-US"/>
        </w:rPr>
        <w:t>RU</w:t>
      </w:r>
      <w:r w:rsidR="009C5797" w:rsidRPr="00906EA7">
        <w:rPr>
          <w:rFonts w:ascii="Times New Roman" w:hAnsi="Times New Roman"/>
          <w:sz w:val="24"/>
          <w:szCs w:val="24"/>
        </w:rPr>
        <w:t>86303000-12-2019. В стадии завершения комплектация объекта оборудованием.</w:t>
      </w:r>
    </w:p>
    <w:p w:rsidR="004324A7" w:rsidRPr="00906EA7" w:rsidRDefault="004324A7"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w:hAnsi="Times New Roman" w:cs="Times New Roman"/>
          <w:sz w:val="24"/>
          <w:szCs w:val="24"/>
        </w:rPr>
        <w:t xml:space="preserve">В рамках муниципальной программы </w:t>
      </w:r>
      <w:r w:rsidRPr="00906EA7">
        <w:rPr>
          <w:rFonts w:ascii="Times New Roman" w:eastAsia="Calibri Light" w:hAnsi="Times New Roman" w:cs="Times New Roman"/>
          <w:sz w:val="24"/>
          <w:szCs w:val="24"/>
        </w:rPr>
        <w:t xml:space="preserve">«Формирование доступной среды для инвалидов и других маломобильных групп населения на территории городского округа город Мегион на 2019-2025 годы» выполнено обустройство входной группы для беспрепятственного доступа маломобильных групп населения (здание МБДОУ ДС №5 «Крепыш»                                   по ул. Советская 8, г. Мегион), а также обустройство туалетной комнаты для маломобильных групп населения в помещении ДК «Сибирь» пгт Высокий. </w:t>
      </w:r>
    </w:p>
    <w:p w:rsidR="00372C3F" w:rsidRPr="00906EA7" w:rsidRDefault="00522531" w:rsidP="0097253F">
      <w:pPr>
        <w:pStyle w:val="ConsPlusCell"/>
        <w:widowControl/>
        <w:shd w:val="clear" w:color="auto" w:fill="FFFFFF"/>
        <w:tabs>
          <w:tab w:val="left" w:pos="993"/>
        </w:tabs>
        <w:ind w:firstLine="709"/>
        <w:jc w:val="both"/>
        <w:rPr>
          <w:sz w:val="24"/>
          <w:szCs w:val="24"/>
        </w:rPr>
      </w:pPr>
      <w:r w:rsidRPr="00906EA7">
        <w:rPr>
          <w:sz w:val="24"/>
          <w:szCs w:val="24"/>
        </w:rPr>
        <w:t xml:space="preserve">В </w:t>
      </w:r>
      <w:r w:rsidRPr="00906EA7">
        <w:rPr>
          <w:rFonts w:eastAsia="Calibri"/>
          <w:sz w:val="24"/>
          <w:szCs w:val="24"/>
        </w:rPr>
        <w:t xml:space="preserve">рамках </w:t>
      </w:r>
      <w:r w:rsidRPr="00906EA7">
        <w:rPr>
          <w:sz w:val="24"/>
          <w:szCs w:val="24"/>
        </w:rPr>
        <w:t>реализации</w:t>
      </w:r>
      <w:r w:rsidRPr="00906EA7">
        <w:rPr>
          <w:rFonts w:eastAsia="Calibri"/>
          <w:sz w:val="24"/>
          <w:szCs w:val="24"/>
        </w:rPr>
        <w:t xml:space="preserve"> муниципальной программы </w:t>
      </w:r>
      <w:r w:rsidR="004324A7" w:rsidRPr="00906EA7">
        <w:rPr>
          <w:sz w:val="24"/>
          <w:szCs w:val="24"/>
        </w:rPr>
        <w:t>«Развитие жилищной сферы на территории</w:t>
      </w:r>
      <w:r w:rsidRPr="00906EA7">
        <w:rPr>
          <w:sz w:val="24"/>
          <w:szCs w:val="24"/>
        </w:rPr>
        <w:t xml:space="preserve"> </w:t>
      </w:r>
      <w:r w:rsidR="004324A7" w:rsidRPr="00906EA7">
        <w:rPr>
          <w:sz w:val="24"/>
          <w:szCs w:val="24"/>
        </w:rPr>
        <w:t>городского округа город Мегион на 2019-2025 годы» выплачено 7</w:t>
      </w:r>
      <w:r w:rsidRPr="00906EA7">
        <w:rPr>
          <w:sz w:val="24"/>
          <w:szCs w:val="24"/>
        </w:rPr>
        <w:t xml:space="preserve"> субсидий ветеранам, инвалидам, семьям, имеющим детей инвалидов</w:t>
      </w:r>
      <w:r w:rsidR="0087140F" w:rsidRPr="00906EA7">
        <w:rPr>
          <w:sz w:val="24"/>
          <w:szCs w:val="24"/>
        </w:rPr>
        <w:t>, молодым семьям и ветерану Великой Отечественной войны</w:t>
      </w:r>
      <w:r w:rsidRPr="00906EA7">
        <w:rPr>
          <w:sz w:val="24"/>
          <w:szCs w:val="24"/>
        </w:rPr>
        <w:t>. Проводилось администрирование по постановке на учет отдельных категорий граждан</w:t>
      </w:r>
      <w:r w:rsidR="001617D8" w:rsidRPr="00906EA7">
        <w:rPr>
          <w:sz w:val="24"/>
          <w:szCs w:val="24"/>
        </w:rPr>
        <w:t>.</w:t>
      </w:r>
      <w:r w:rsidRPr="00906EA7">
        <w:rPr>
          <w:sz w:val="24"/>
          <w:szCs w:val="24"/>
        </w:rPr>
        <w:t xml:space="preserve"> Сократилось количество аварийного и непригодного жилья на территории городского округа город Мегион, признанного аварийным и неприг</w:t>
      </w:r>
      <w:r w:rsidR="004324A7" w:rsidRPr="00906EA7">
        <w:rPr>
          <w:sz w:val="24"/>
          <w:szCs w:val="24"/>
        </w:rPr>
        <w:t>одным</w:t>
      </w:r>
      <w:r w:rsidRPr="00906EA7">
        <w:rPr>
          <w:sz w:val="24"/>
          <w:szCs w:val="24"/>
        </w:rPr>
        <w:t>.</w:t>
      </w:r>
      <w:r w:rsidR="004324A7" w:rsidRPr="00906EA7">
        <w:rPr>
          <w:sz w:val="24"/>
          <w:szCs w:val="24"/>
        </w:rPr>
        <w:t xml:space="preserve"> </w:t>
      </w:r>
    </w:p>
    <w:p w:rsidR="00FC20EC" w:rsidRPr="00906EA7" w:rsidRDefault="00FC20EC"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В соответствии  с мероприятием «Предоставление социальных выплат отдельным категориям граждан на обеспечение жилыми помещениями в Ханты - Мансийском автономном округе – Югре» подпрограммы IV «Обеспечение мерами государственной поддержки по улучшению жилищных условий отдельных категорий граждан», утвержденной    постановлением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социальную выплату взамен предоставления земельного участка в собственность получили 11 семей, имеющих трех и более детей. </w:t>
      </w:r>
    </w:p>
    <w:p w:rsidR="00FC20EC" w:rsidRPr="00906EA7" w:rsidRDefault="00FC20EC"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рамках подпрограммы «Содействие развитию жилищного строительства на территории городского округа город Мегион» приобретено 167 жилых помещений, общей площадью 10,27 тыс. кв. м. для расселения аварийного жилищного фонда и обеспечения жилыми помещениями граждан, состоящих на учете в качестве нуждающихся в жилых помещениях, предоставляемых по договорам социального найма, формирования маневренного жилищного фонда.</w:t>
      </w:r>
    </w:p>
    <w:p w:rsidR="00456D0E" w:rsidRPr="00906EA7" w:rsidRDefault="00456D0E"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рамках подпрограммы 4 «Адресная программа по ликвидации и расселению строений, приспособленных для проживания, расположенных на территории городского округа город Мегион» выплачено 213 суб</w:t>
      </w:r>
      <w:r w:rsidR="00F24F2B" w:rsidRPr="00906EA7">
        <w:rPr>
          <w:rFonts w:ascii="Times New Roman" w:eastAsia="Times New Roman" w:hAnsi="Times New Roman" w:cs="Times New Roman"/>
          <w:sz w:val="24"/>
          <w:szCs w:val="24"/>
          <w:lang w:eastAsia="ru-RU"/>
        </w:rPr>
        <w:t>сидий на расселение 164 строения</w:t>
      </w:r>
      <w:r w:rsidRPr="00906EA7">
        <w:rPr>
          <w:rFonts w:ascii="Times New Roman" w:eastAsia="Times New Roman" w:hAnsi="Times New Roman" w:cs="Times New Roman"/>
          <w:sz w:val="24"/>
          <w:szCs w:val="24"/>
          <w:lang w:eastAsia="ru-RU"/>
        </w:rPr>
        <w:t>.</w:t>
      </w:r>
    </w:p>
    <w:p w:rsidR="00FC20EC" w:rsidRPr="00906EA7" w:rsidRDefault="00FC20EC"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2020 году будет продолжена работа по расселению граждан, проживающих в аварийном жилье и приспособленных для проживания строений, а также улучшению жилищных условий отдельных категорий граждан и созданию эффективных механизмов развития жилищного строительства, в том числе, с привлечением коллективных инвестиций, в соответствии с муниципальной программой «Развитие жилищной сферы на территории городского округа город Мегион на 2019-2025 годы».</w:t>
      </w:r>
    </w:p>
    <w:p w:rsidR="00FC20EC" w:rsidRPr="00906EA7" w:rsidRDefault="00FC20EC" w:rsidP="0097253F">
      <w:pPr>
        <w:spacing w:after="0" w:line="240" w:lineRule="auto"/>
        <w:ind w:firstLine="709"/>
        <w:jc w:val="both"/>
        <w:rPr>
          <w:rFonts w:ascii="Times New Roman" w:eastAsia="Calibri" w:hAnsi="Times New Roman" w:cs="Times New Roman"/>
          <w:bCs/>
          <w:sz w:val="24"/>
          <w:szCs w:val="24"/>
        </w:rPr>
      </w:pPr>
      <w:r w:rsidRPr="00906EA7">
        <w:rPr>
          <w:rFonts w:ascii="Times New Roman" w:eastAsia="Calibri" w:hAnsi="Times New Roman" w:cs="Times New Roman"/>
          <w:bCs/>
          <w:sz w:val="24"/>
          <w:szCs w:val="24"/>
        </w:rPr>
        <w:t xml:space="preserve">В </w:t>
      </w:r>
      <w:r w:rsidRPr="00906EA7">
        <w:rPr>
          <w:rFonts w:ascii="Times New Roman" w:eastAsia="Calibri" w:hAnsi="Times New Roman" w:cs="Times New Roman"/>
          <w:bCs/>
          <w:sz w:val="24"/>
          <w:szCs w:val="24"/>
          <w:lang w:val="en-US"/>
        </w:rPr>
        <w:t>I</w:t>
      </w:r>
      <w:r w:rsidRPr="00906EA7">
        <w:rPr>
          <w:rFonts w:ascii="Times New Roman" w:eastAsia="Calibri" w:hAnsi="Times New Roman" w:cs="Times New Roman"/>
          <w:bCs/>
          <w:sz w:val="24"/>
          <w:szCs w:val="24"/>
        </w:rPr>
        <w:t xml:space="preserve"> квартале 2020 года планируется предоставление 20 жилых помещений детям-</w:t>
      </w:r>
      <w:r w:rsidR="00FF2FEE" w:rsidRPr="00906EA7">
        <w:rPr>
          <w:rFonts w:ascii="Times New Roman" w:eastAsia="Calibri" w:hAnsi="Times New Roman" w:cs="Times New Roman"/>
          <w:bCs/>
          <w:sz w:val="24"/>
          <w:szCs w:val="24"/>
        </w:rPr>
        <w:t>сиротам. Также продолжить работу</w:t>
      </w:r>
      <w:r w:rsidRPr="00906EA7">
        <w:rPr>
          <w:rFonts w:ascii="Times New Roman" w:eastAsia="Calibri" w:hAnsi="Times New Roman" w:cs="Times New Roman"/>
          <w:bCs/>
          <w:sz w:val="24"/>
          <w:szCs w:val="24"/>
        </w:rPr>
        <w:t xml:space="preserve"> с застройщиками с целью своевременного приобретения жилых помещений детям-сиротам.</w:t>
      </w:r>
    </w:p>
    <w:p w:rsidR="009A0C5C" w:rsidRPr="00906EA7" w:rsidRDefault="009A0C5C"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Реализация программных мероприятий позволила выполнить работы на </w:t>
      </w:r>
      <w:r w:rsidR="00FF2FEE" w:rsidRPr="00906EA7">
        <w:rPr>
          <w:rFonts w:ascii="Times New Roman" w:eastAsia="Calibri" w:hAnsi="Times New Roman" w:cs="Times New Roman"/>
          <w:sz w:val="24"/>
          <w:szCs w:val="24"/>
        </w:rPr>
        <w:t>объекте «У</w:t>
      </w:r>
      <w:r w:rsidRPr="00906EA7">
        <w:rPr>
          <w:rFonts w:ascii="Times New Roman" w:eastAsia="Calibri" w:hAnsi="Times New Roman" w:cs="Times New Roman"/>
          <w:sz w:val="24"/>
          <w:szCs w:val="24"/>
        </w:rPr>
        <w:t>част</w:t>
      </w:r>
      <w:r w:rsidR="00FF2FEE" w:rsidRPr="00906EA7">
        <w:rPr>
          <w:rFonts w:ascii="Times New Roman" w:eastAsia="Calibri" w:hAnsi="Times New Roman" w:cs="Times New Roman"/>
          <w:sz w:val="24"/>
          <w:szCs w:val="24"/>
        </w:rPr>
        <w:t>ок</w:t>
      </w:r>
      <w:r w:rsidRPr="00906EA7">
        <w:rPr>
          <w:rFonts w:ascii="Times New Roman" w:eastAsia="Calibri" w:hAnsi="Times New Roman" w:cs="Times New Roman"/>
          <w:sz w:val="24"/>
          <w:szCs w:val="24"/>
        </w:rPr>
        <w:t xml:space="preserve"> тепловых сетей 2 Ø800 мм от УТ-4 до ул. 50 лет Октября с переходом ул. Заречная, 2 Ø700 мм от ул. 50 лет Октября в г</w:t>
      </w:r>
      <w:r w:rsidR="00FF2FEE" w:rsidRPr="00906EA7">
        <w:rPr>
          <w:rFonts w:ascii="Times New Roman" w:eastAsia="Calibri" w:hAnsi="Times New Roman" w:cs="Times New Roman"/>
          <w:sz w:val="24"/>
          <w:szCs w:val="24"/>
        </w:rPr>
        <w:t>. Мегионе. 1 этап строительства». Готовность объекта 100%.</w:t>
      </w:r>
      <w:r w:rsidRPr="00906EA7">
        <w:rPr>
          <w:rFonts w:ascii="Times New Roman" w:eastAsia="Calibri" w:hAnsi="Times New Roman" w:cs="Times New Roman"/>
          <w:sz w:val="24"/>
          <w:szCs w:val="24"/>
        </w:rPr>
        <w:t xml:space="preserve"> </w:t>
      </w:r>
      <w:r w:rsidR="00FF2FEE" w:rsidRPr="00906EA7">
        <w:rPr>
          <w:rFonts w:ascii="Times New Roman" w:eastAsia="Calibri" w:hAnsi="Times New Roman" w:cs="Times New Roman"/>
          <w:sz w:val="24"/>
          <w:szCs w:val="24"/>
        </w:rPr>
        <w:t>Получено разрешение</w:t>
      </w:r>
      <w:r w:rsidRPr="00906EA7">
        <w:rPr>
          <w:rFonts w:ascii="Times New Roman" w:eastAsia="Calibri" w:hAnsi="Times New Roman" w:cs="Times New Roman"/>
          <w:sz w:val="24"/>
          <w:szCs w:val="24"/>
        </w:rPr>
        <w:t xml:space="preserve"> на ввод объекта в эксплуатацию </w:t>
      </w:r>
      <w:r w:rsidR="00FF2FEE" w:rsidRPr="00906EA7">
        <w:rPr>
          <w:rFonts w:ascii="Times New Roman" w:eastAsia="Calibri" w:hAnsi="Times New Roman" w:cs="Times New Roman"/>
          <w:sz w:val="24"/>
          <w:szCs w:val="24"/>
        </w:rPr>
        <w:t>от 18.02.2020 года                №86-</w:t>
      </w:r>
      <w:r w:rsidR="00FF2FEE" w:rsidRPr="00906EA7">
        <w:rPr>
          <w:rFonts w:ascii="Times New Roman" w:eastAsia="Calibri" w:hAnsi="Times New Roman" w:cs="Times New Roman"/>
          <w:sz w:val="24"/>
          <w:szCs w:val="24"/>
          <w:lang w:val="en-US"/>
        </w:rPr>
        <w:t>RU</w:t>
      </w:r>
      <w:r w:rsidR="00FF2FEE" w:rsidRPr="00906EA7">
        <w:rPr>
          <w:rFonts w:ascii="Times New Roman" w:eastAsia="Calibri" w:hAnsi="Times New Roman" w:cs="Times New Roman"/>
          <w:sz w:val="24"/>
          <w:szCs w:val="24"/>
        </w:rPr>
        <w:t>-86303000-04-2020</w:t>
      </w:r>
      <w:r w:rsidRPr="00906EA7">
        <w:rPr>
          <w:rFonts w:ascii="Times New Roman" w:eastAsia="Calibri" w:hAnsi="Times New Roman" w:cs="Times New Roman"/>
          <w:sz w:val="24"/>
          <w:szCs w:val="24"/>
        </w:rPr>
        <w:t>.</w:t>
      </w:r>
    </w:p>
    <w:p w:rsidR="00522531" w:rsidRPr="00906EA7" w:rsidRDefault="00A8001D"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итогам 2019</w:t>
      </w:r>
      <w:r w:rsidR="00522531" w:rsidRPr="00906EA7">
        <w:rPr>
          <w:rFonts w:ascii="Times New Roman" w:eastAsia="Times New Roman" w:hAnsi="Times New Roman" w:cs="Times New Roman"/>
          <w:sz w:val="24"/>
          <w:szCs w:val="24"/>
          <w:lang w:eastAsia="ru-RU"/>
        </w:rPr>
        <w:t xml:space="preserve"> года на территории городского округа город Ме</w:t>
      </w:r>
      <w:r w:rsidR="000F4564" w:rsidRPr="00906EA7">
        <w:rPr>
          <w:rFonts w:ascii="Times New Roman" w:eastAsia="Times New Roman" w:hAnsi="Times New Roman" w:cs="Times New Roman"/>
          <w:sz w:val="24"/>
          <w:szCs w:val="24"/>
          <w:lang w:eastAsia="ru-RU"/>
        </w:rPr>
        <w:t>гион введено                       31 здание</w:t>
      </w:r>
      <w:r w:rsidR="00522531" w:rsidRPr="00906EA7">
        <w:rPr>
          <w:rFonts w:ascii="Times New Roman" w:eastAsia="Times New Roman" w:hAnsi="Times New Roman" w:cs="Times New Roman"/>
          <w:sz w:val="24"/>
          <w:szCs w:val="24"/>
          <w:lang w:eastAsia="ru-RU"/>
        </w:rPr>
        <w:t xml:space="preserve"> жилого назначения.</w:t>
      </w:r>
    </w:p>
    <w:p w:rsidR="00522531" w:rsidRPr="00906EA7" w:rsidRDefault="00A8001D"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2019</w:t>
      </w:r>
      <w:r w:rsidR="00522531" w:rsidRPr="00906EA7">
        <w:rPr>
          <w:rFonts w:ascii="Times New Roman" w:eastAsia="Times New Roman" w:hAnsi="Times New Roman" w:cs="Times New Roman"/>
          <w:sz w:val="24"/>
          <w:szCs w:val="24"/>
          <w:lang w:eastAsia="ru-RU"/>
        </w:rPr>
        <w:t xml:space="preserve"> году площадь введенного жилья в г</w:t>
      </w:r>
      <w:r w:rsidR="000F4564" w:rsidRPr="00906EA7">
        <w:rPr>
          <w:rFonts w:ascii="Times New Roman" w:eastAsia="Times New Roman" w:hAnsi="Times New Roman" w:cs="Times New Roman"/>
          <w:sz w:val="24"/>
          <w:szCs w:val="24"/>
          <w:lang w:eastAsia="ru-RU"/>
        </w:rPr>
        <w:t>ороде составила 21,339</w:t>
      </w:r>
      <w:r w:rsidR="00522531" w:rsidRPr="00906EA7">
        <w:rPr>
          <w:rFonts w:ascii="Times New Roman" w:eastAsia="Times New Roman" w:hAnsi="Times New Roman" w:cs="Times New Roman"/>
          <w:sz w:val="24"/>
          <w:szCs w:val="24"/>
          <w:lang w:eastAsia="ru-RU"/>
        </w:rPr>
        <w:t xml:space="preserve"> </w:t>
      </w:r>
      <w:r w:rsidR="00866F66" w:rsidRPr="00906EA7">
        <w:rPr>
          <w:rFonts w:ascii="Times New Roman" w:eastAsia="Times New Roman" w:hAnsi="Times New Roman" w:cs="Times New Roman"/>
          <w:sz w:val="24"/>
          <w:szCs w:val="24"/>
          <w:lang w:eastAsia="ru-RU"/>
        </w:rPr>
        <w:t>тыс.кв.м., что</w:t>
      </w:r>
      <w:r w:rsidR="003C39A5" w:rsidRPr="00906EA7">
        <w:rPr>
          <w:rFonts w:ascii="Times New Roman" w:eastAsia="Times New Roman" w:hAnsi="Times New Roman" w:cs="Times New Roman"/>
          <w:sz w:val="24"/>
          <w:szCs w:val="24"/>
          <w:lang w:eastAsia="ru-RU"/>
        </w:rPr>
        <w:t xml:space="preserve"> в 3 раза выше уровня соответствующего периода 2018 года.</w:t>
      </w:r>
      <w:r w:rsidR="00522531" w:rsidRPr="00906EA7">
        <w:rPr>
          <w:rFonts w:ascii="Times New Roman" w:eastAsia="Times New Roman" w:hAnsi="Times New Roman" w:cs="Times New Roman"/>
          <w:sz w:val="24"/>
          <w:szCs w:val="24"/>
          <w:lang w:eastAsia="ru-RU"/>
        </w:rPr>
        <w:t xml:space="preserve"> </w:t>
      </w:r>
    </w:p>
    <w:p w:rsidR="00522531" w:rsidRPr="00906EA7" w:rsidRDefault="00A8001D" w:rsidP="0097253F">
      <w:pPr>
        <w:spacing w:after="0" w:line="240" w:lineRule="auto"/>
        <w:ind w:firstLine="72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Ввод жилых домов в 2019</w:t>
      </w:r>
      <w:r w:rsidR="00522531" w:rsidRPr="00906EA7">
        <w:rPr>
          <w:rFonts w:ascii="Times New Roman" w:eastAsia="Times New Roman" w:hAnsi="Times New Roman" w:cs="Times New Roman"/>
          <w:sz w:val="24"/>
          <w:szCs w:val="24"/>
          <w:lang w:eastAsia="ru-RU"/>
        </w:rPr>
        <w:t xml:space="preserve"> году</w:t>
      </w:r>
    </w:p>
    <w:p w:rsidR="00522531" w:rsidRPr="00906EA7" w:rsidRDefault="00522531" w:rsidP="0097253F">
      <w:pPr>
        <w:spacing w:after="0" w:line="240" w:lineRule="auto"/>
        <w:ind w:firstLine="72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1242"/>
        <w:gridCol w:w="1526"/>
      </w:tblGrid>
      <w:tr w:rsidR="000F4564" w:rsidRPr="00906EA7" w:rsidTr="00FE67AF">
        <w:trPr>
          <w:trHeight w:val="666"/>
          <w:tblHeader/>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ind w:left="158"/>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ind w:firstLine="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Адрес</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ind w:firstLine="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Количество квартир</w:t>
            </w:r>
          </w:p>
        </w:tc>
        <w:tc>
          <w:tcPr>
            <w:tcW w:w="1526"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ind w:firstLine="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Площадь, кв.м</w:t>
            </w:r>
          </w:p>
        </w:tc>
      </w:tr>
      <w:tr w:rsidR="00522531"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62260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«Многоквартирный жилые</w:t>
            </w:r>
            <w:r w:rsidR="00522531" w:rsidRPr="00906EA7">
              <w:rPr>
                <w:rFonts w:ascii="Times New Roman" w:eastAsia="Times New Roman" w:hAnsi="Times New Roman" w:cs="Times New Roman"/>
                <w:sz w:val="24"/>
                <w:szCs w:val="24"/>
                <w:lang w:eastAsia="ru-RU"/>
              </w:rPr>
              <w:t xml:space="preserve"> дом</w:t>
            </w:r>
            <w:r w:rsidRPr="00906EA7">
              <w:rPr>
                <w:rFonts w:ascii="Times New Roman" w:eastAsia="Times New Roman" w:hAnsi="Times New Roman" w:cs="Times New Roman"/>
                <w:sz w:val="24"/>
                <w:szCs w:val="24"/>
                <w:lang w:eastAsia="ru-RU"/>
              </w:rPr>
              <w:t>а</w:t>
            </w:r>
            <w:r w:rsidR="00522531"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 xml:space="preserve">№1,2,3,4» Жилой дом №1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64</w:t>
            </w:r>
          </w:p>
        </w:tc>
        <w:tc>
          <w:tcPr>
            <w:tcW w:w="1526" w:type="dxa"/>
            <w:tcBorders>
              <w:top w:val="single" w:sz="4" w:space="0" w:color="auto"/>
              <w:left w:val="single" w:sz="4" w:space="0" w:color="auto"/>
              <w:bottom w:val="single" w:sz="4" w:space="0" w:color="auto"/>
              <w:right w:val="single" w:sz="4" w:space="0" w:color="auto"/>
            </w:tcBorders>
            <w:vAlign w:val="center"/>
          </w:tcPr>
          <w:p w:rsidR="00522531"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3 </w:t>
            </w:r>
            <w:r w:rsidR="000F4564"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39,0</w:t>
            </w:r>
          </w:p>
        </w:tc>
      </w:tr>
      <w:tr w:rsidR="00522531"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«Многоквартирный жилые дома №1,2,3,4» Жилой дом №2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64</w:t>
            </w:r>
          </w:p>
        </w:tc>
        <w:tc>
          <w:tcPr>
            <w:tcW w:w="1526" w:type="dxa"/>
            <w:tcBorders>
              <w:top w:val="single" w:sz="4" w:space="0" w:color="auto"/>
              <w:left w:val="single" w:sz="4" w:space="0" w:color="auto"/>
              <w:bottom w:val="single" w:sz="4" w:space="0" w:color="auto"/>
              <w:right w:val="single" w:sz="4" w:space="0" w:color="auto"/>
            </w:tcBorders>
            <w:vAlign w:val="center"/>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3 847,4</w:t>
            </w:r>
          </w:p>
        </w:tc>
      </w:tr>
      <w:tr w:rsidR="00331658"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«Многоквартирный жилые дома №1,2,3,4» Жилой дом №3</w:t>
            </w:r>
          </w:p>
        </w:tc>
        <w:tc>
          <w:tcPr>
            <w:tcW w:w="2268"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64</w:t>
            </w:r>
          </w:p>
        </w:tc>
        <w:tc>
          <w:tcPr>
            <w:tcW w:w="1526"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3 904,0</w:t>
            </w:r>
          </w:p>
        </w:tc>
      </w:tr>
      <w:tr w:rsidR="00331658"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Трехэтажный жилой дом в СУ-920 г.Мегион</w:t>
            </w:r>
          </w:p>
        </w:tc>
        <w:tc>
          <w:tcPr>
            <w:tcW w:w="2268"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w:t>
            </w:r>
          </w:p>
        </w:tc>
        <w:tc>
          <w:tcPr>
            <w:tcW w:w="1526"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1 469,2</w:t>
            </w:r>
          </w:p>
        </w:tc>
      </w:tr>
      <w:tr w:rsidR="00331658"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Многоквартирный жилой дом №1</w:t>
            </w:r>
          </w:p>
        </w:tc>
        <w:tc>
          <w:tcPr>
            <w:tcW w:w="2268"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г.Мегион, </w:t>
            </w:r>
          </w:p>
          <w:p w:rsidR="00331658"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 микрорайон</w:t>
            </w:r>
          </w:p>
        </w:tc>
        <w:tc>
          <w:tcPr>
            <w:tcW w:w="1242"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104</w:t>
            </w:r>
          </w:p>
        </w:tc>
        <w:tc>
          <w:tcPr>
            <w:tcW w:w="1526"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w:t>
            </w:r>
            <w:r w:rsidR="00E6448B" w:rsidRPr="00906EA7">
              <w:rPr>
                <w:rFonts w:ascii="Times New Roman" w:eastAsia="Times New Roman" w:hAnsi="Times New Roman" w:cs="Times New Roman"/>
                <w:sz w:val="24"/>
                <w:szCs w:val="24"/>
                <w:lang w:val="en-US" w:eastAsia="ru-RU"/>
              </w:rPr>
              <w:t xml:space="preserve"> </w:t>
            </w:r>
            <w:r w:rsidRPr="00906EA7">
              <w:rPr>
                <w:rFonts w:ascii="Times New Roman" w:eastAsia="Times New Roman" w:hAnsi="Times New Roman" w:cs="Times New Roman"/>
                <w:sz w:val="24"/>
                <w:szCs w:val="24"/>
                <w:lang w:eastAsia="ru-RU"/>
              </w:rPr>
              <w:t>373,4</w:t>
            </w:r>
          </w:p>
        </w:tc>
      </w:tr>
      <w:tr w:rsidR="00522531"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Индивидуальные жилые дома, построенные населением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w:t>
            </w:r>
          </w:p>
        </w:tc>
        <w:tc>
          <w:tcPr>
            <w:tcW w:w="1526" w:type="dxa"/>
            <w:tcBorders>
              <w:top w:val="single" w:sz="4" w:space="0" w:color="auto"/>
              <w:left w:val="single" w:sz="4" w:space="0" w:color="auto"/>
              <w:bottom w:val="single" w:sz="4" w:space="0" w:color="auto"/>
              <w:right w:val="single" w:sz="4" w:space="0" w:color="auto"/>
            </w:tcBorders>
            <w:vAlign w:val="center"/>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1 906,3</w:t>
            </w:r>
          </w:p>
        </w:tc>
      </w:tr>
      <w:tr w:rsidR="00522531" w:rsidRPr="00906EA7" w:rsidTr="003E2806">
        <w:trPr>
          <w:trHeight w:val="287"/>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346</w:t>
            </w:r>
          </w:p>
        </w:tc>
        <w:tc>
          <w:tcPr>
            <w:tcW w:w="1526"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0F4564"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21 339,3</w:t>
            </w:r>
          </w:p>
        </w:tc>
      </w:tr>
    </w:tbl>
    <w:p w:rsidR="000753F4" w:rsidRPr="00906EA7" w:rsidRDefault="000753F4" w:rsidP="0097253F">
      <w:pPr>
        <w:spacing w:after="0" w:line="240" w:lineRule="auto"/>
        <w:rPr>
          <w:rFonts w:ascii="Times New Roman" w:eastAsia="Calibri Light" w:hAnsi="Times New Roman" w:cs="Times New Roman"/>
          <w:sz w:val="24"/>
          <w:szCs w:val="24"/>
        </w:rPr>
      </w:pPr>
      <w:bookmarkStart w:id="1" w:name="top"/>
    </w:p>
    <w:p w:rsidR="00B77DF9" w:rsidRPr="00906EA7" w:rsidRDefault="00B77DF9" w:rsidP="0097253F">
      <w:pPr>
        <w:spacing w:after="0" w:line="240" w:lineRule="auto"/>
        <w:ind w:firstLine="708"/>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МАЛОЕ ПРЕДПРИНИМАТЕЛЬСТВО</w:t>
      </w:r>
    </w:p>
    <w:p w:rsidR="00B77DF9" w:rsidRPr="00906EA7" w:rsidRDefault="00B77DF9" w:rsidP="0097253F">
      <w:pPr>
        <w:spacing w:after="0" w:line="240" w:lineRule="auto"/>
        <w:ind w:right="200" w:firstLine="709"/>
        <w:jc w:val="both"/>
        <w:rPr>
          <w:rFonts w:ascii="Times New Roman" w:eastAsia="Times New Roman" w:hAnsi="Times New Roman" w:cs="Times New Roman"/>
          <w:sz w:val="24"/>
          <w:szCs w:val="24"/>
          <w:lang w:eastAsia="ru-RU"/>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Малое и среднее предпринимательство является важным элементом рыночной экономики. Субъекты малого и среднего предпри</w:t>
      </w:r>
      <w:r w:rsidRPr="00906EA7">
        <w:rPr>
          <w:rFonts w:ascii="Times New Roman" w:hAnsi="Times New Roman" w:cs="Times New Roman"/>
          <w:sz w:val="24"/>
          <w:szCs w:val="24"/>
        </w:rPr>
        <w:softHyphen/>
        <w:t>ниматель</w:t>
      </w:r>
      <w:r w:rsidRPr="00906EA7">
        <w:rPr>
          <w:rFonts w:ascii="Times New Roman" w:hAnsi="Times New Roman" w:cs="Times New Roman"/>
          <w:sz w:val="24"/>
          <w:szCs w:val="24"/>
        </w:rPr>
        <w:softHyphen/>
        <w:t>ства присутствуют практически во всех отраслях производственной и непроизводственной сфер деятельности.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Развитие малого и среднего предпри</w:t>
      </w:r>
      <w:r w:rsidRPr="00906EA7">
        <w:rPr>
          <w:rFonts w:ascii="Times New Roman" w:hAnsi="Times New Roman" w:cs="Times New Roman"/>
          <w:sz w:val="24"/>
          <w:szCs w:val="24"/>
        </w:rPr>
        <w:softHyphen/>
        <w:t>ниматель</w:t>
      </w:r>
      <w:r w:rsidRPr="00906EA7">
        <w:rPr>
          <w:rFonts w:ascii="Times New Roman" w:hAnsi="Times New Roman" w:cs="Times New Roman"/>
          <w:sz w:val="24"/>
          <w:szCs w:val="24"/>
        </w:rPr>
        <w:softHyphen/>
        <w:t>ства способствует повышению благосостояния граждан, созданию новых рабочих мест, увеличению доходной части бюджета.</w:t>
      </w:r>
    </w:p>
    <w:p w:rsidR="00240C30" w:rsidRPr="00906EA7" w:rsidRDefault="00240C30" w:rsidP="0097253F">
      <w:pPr>
        <w:widowControl w:val="0"/>
        <w:spacing w:after="0" w:line="240" w:lineRule="auto"/>
        <w:ind w:firstLine="709"/>
        <w:jc w:val="both"/>
        <w:rPr>
          <w:rFonts w:ascii="Times New Roman" w:eastAsia="Calibri" w:hAnsi="Times New Roman" w:cs="Times New Roman"/>
          <w:bCs/>
          <w:iCs/>
          <w:sz w:val="24"/>
          <w:szCs w:val="24"/>
        </w:rPr>
      </w:pPr>
      <w:r w:rsidRPr="00906EA7">
        <w:rPr>
          <w:rFonts w:ascii="Times New Roman" w:eastAsia="Calibri" w:hAnsi="Times New Roman" w:cs="Times New Roman"/>
          <w:bCs/>
          <w:iCs/>
          <w:sz w:val="24"/>
          <w:szCs w:val="24"/>
        </w:rPr>
        <w:t xml:space="preserve">Согласно сведениям из Единого реестра субъектов малого и среднего предпринимательства Федеральной налоговой службы по состоянию на 01.01.2020 на территории городского округа </w:t>
      </w:r>
      <w:r w:rsidRPr="00906EA7">
        <w:rPr>
          <w:rFonts w:ascii="Times New Roman" w:eastAsia="Calibri" w:hAnsi="Times New Roman" w:cs="Times New Roman"/>
          <w:sz w:val="24"/>
          <w:szCs w:val="24"/>
        </w:rPr>
        <w:t xml:space="preserve">осуществлял свою деятельность в различных отраслях экономики 1 811 субъект малого и среднего предпринимательства, в том числе </w:t>
      </w:r>
      <w:r w:rsidRPr="00906EA7">
        <w:rPr>
          <w:rFonts w:ascii="Times New Roman" w:eastAsia="Calibri" w:hAnsi="Times New Roman" w:cs="Times New Roman"/>
          <w:bCs/>
          <w:iCs/>
          <w:sz w:val="24"/>
          <w:szCs w:val="24"/>
        </w:rPr>
        <w:t>476 микро-, малых и средних предприятий и 1335 индивидуальных предпринимателей, что ниже показателя 2018 года на 2,7% (в 2018 году – 1 862 ед.). Снижение объясняется исключением из реестра действующих субъектов, не предоставивших отчетность в Федеральную налоговую службу.</w:t>
      </w:r>
    </w:p>
    <w:p w:rsidR="00FE67AF" w:rsidRPr="00906EA7" w:rsidRDefault="00FE67AF" w:rsidP="0097253F">
      <w:pPr>
        <w:spacing w:after="0" w:line="240" w:lineRule="auto"/>
        <w:ind w:firstLine="709"/>
        <w:jc w:val="both"/>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4077"/>
        <w:gridCol w:w="1890"/>
        <w:gridCol w:w="1890"/>
        <w:gridCol w:w="1890"/>
      </w:tblGrid>
      <w:tr w:rsidR="00240C30" w:rsidRPr="00906EA7" w:rsidTr="00240C30">
        <w:trPr>
          <w:trHeight w:val="406"/>
        </w:trPr>
        <w:tc>
          <w:tcPr>
            <w:tcW w:w="4077" w:type="dxa"/>
            <w:tcBorders>
              <w:top w:val="single" w:sz="4" w:space="0" w:color="auto"/>
              <w:left w:val="single" w:sz="4" w:space="0" w:color="auto"/>
              <w:bottom w:val="single" w:sz="4" w:space="0" w:color="auto"/>
              <w:right w:val="single" w:sz="4" w:space="0" w:color="auto"/>
            </w:tcBorders>
            <w:vAlign w:val="center"/>
          </w:tcPr>
          <w:p w:rsidR="00240C30" w:rsidRPr="00906EA7" w:rsidRDefault="00240C30" w:rsidP="0097253F">
            <w:pPr>
              <w:spacing w:after="0" w:line="240" w:lineRule="auto"/>
              <w:jc w:val="center"/>
              <w:rPr>
                <w:rFonts w:ascii="Times New Roman" w:eastAsia="Calibri"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2017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2018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2019 год</w:t>
            </w:r>
          </w:p>
        </w:tc>
      </w:tr>
      <w:tr w:rsidR="00240C30" w:rsidRPr="00906EA7" w:rsidTr="00F119D3">
        <w:trPr>
          <w:trHeight w:val="341"/>
        </w:trPr>
        <w:tc>
          <w:tcPr>
            <w:tcW w:w="4077"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Юридические лица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511</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501</w:t>
            </w:r>
          </w:p>
        </w:tc>
        <w:tc>
          <w:tcPr>
            <w:tcW w:w="1890" w:type="dxa"/>
            <w:tcBorders>
              <w:top w:val="single" w:sz="4" w:space="0" w:color="auto"/>
              <w:left w:val="single" w:sz="4" w:space="0" w:color="auto"/>
              <w:bottom w:val="single" w:sz="4" w:space="0" w:color="auto"/>
              <w:right w:val="single" w:sz="4" w:space="0" w:color="auto"/>
            </w:tcBorders>
            <w:vAlign w:val="center"/>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476</w:t>
            </w:r>
          </w:p>
        </w:tc>
      </w:tr>
      <w:tr w:rsidR="00240C30" w:rsidRPr="00906EA7" w:rsidTr="00F119D3">
        <w:trPr>
          <w:trHeight w:val="341"/>
        </w:trPr>
        <w:tc>
          <w:tcPr>
            <w:tcW w:w="4077"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Индивидуальные предприниматели</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354</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361</w:t>
            </w:r>
          </w:p>
        </w:tc>
        <w:tc>
          <w:tcPr>
            <w:tcW w:w="1890" w:type="dxa"/>
            <w:tcBorders>
              <w:top w:val="single" w:sz="4" w:space="0" w:color="auto"/>
              <w:left w:val="single" w:sz="4" w:space="0" w:color="auto"/>
              <w:bottom w:val="single" w:sz="4" w:space="0" w:color="auto"/>
              <w:right w:val="single" w:sz="4" w:space="0" w:color="auto"/>
            </w:tcBorders>
            <w:vAlign w:val="center"/>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335</w:t>
            </w:r>
          </w:p>
        </w:tc>
      </w:tr>
      <w:tr w:rsidR="00240C30" w:rsidRPr="00906EA7" w:rsidTr="00F119D3">
        <w:trPr>
          <w:trHeight w:val="341"/>
        </w:trPr>
        <w:tc>
          <w:tcPr>
            <w:tcW w:w="4077"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ВСЕГО:</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vertAlign w:val="superscript"/>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865</w:t>
            </w:r>
            <w:r w:rsidRPr="00906EA7">
              <w:rPr>
                <w:rFonts w:ascii="Times New Roman" w:eastAsia="Calibri" w:hAnsi="Times New Roman" w:cs="Times New Roman"/>
                <w:sz w:val="24"/>
                <w:szCs w:val="24"/>
                <w:vertAlign w:val="superscript"/>
              </w:rPr>
              <w:t>*</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862*</w:t>
            </w:r>
          </w:p>
        </w:tc>
        <w:tc>
          <w:tcPr>
            <w:tcW w:w="1890" w:type="dxa"/>
            <w:tcBorders>
              <w:top w:val="single" w:sz="4" w:space="0" w:color="auto"/>
              <w:left w:val="single" w:sz="4" w:space="0" w:color="auto"/>
              <w:bottom w:val="single" w:sz="4" w:space="0" w:color="auto"/>
              <w:right w:val="single" w:sz="4" w:space="0" w:color="auto"/>
            </w:tcBorders>
            <w:vAlign w:val="center"/>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811*</w:t>
            </w:r>
          </w:p>
        </w:tc>
      </w:tr>
    </w:tbl>
    <w:p w:rsidR="00240C30" w:rsidRPr="00906EA7" w:rsidRDefault="00240C30" w:rsidP="0097253F">
      <w:pPr>
        <w:spacing w:after="0" w:line="240" w:lineRule="auto"/>
        <w:jc w:val="both"/>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*В соответствии с данными единого Реестра субъектов малого и среднего предпринимательства ИФНС.</w:t>
      </w:r>
    </w:p>
    <w:p w:rsidR="00240C30" w:rsidRPr="00906EA7" w:rsidRDefault="00240C30" w:rsidP="0097253F">
      <w:pPr>
        <w:adjustRightInd w:val="0"/>
        <w:spacing w:after="0" w:line="240" w:lineRule="auto"/>
        <w:jc w:val="both"/>
        <w:rPr>
          <w:rFonts w:ascii="Times New Roman" w:eastAsia="Times New Roman" w:hAnsi="Times New Roman" w:cs="Times New Roman"/>
          <w:sz w:val="24"/>
          <w:szCs w:val="24"/>
          <w:lang w:eastAsia="ru-RU"/>
        </w:rPr>
      </w:pPr>
    </w:p>
    <w:p w:rsidR="00240C30" w:rsidRPr="00906EA7" w:rsidRDefault="00240C30" w:rsidP="00177661">
      <w:pPr>
        <w:adjustRightInd w:val="0"/>
        <w:spacing w:after="0" w:line="240" w:lineRule="auto"/>
        <w:ind w:firstLine="709"/>
        <w:jc w:val="both"/>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По оценке общая численность занятых в малом бизнесе составляет 8,1 тыс. человек, или 25,0% от общего количества работающего населения (32,5 тыс.</w:t>
      </w:r>
      <w:r w:rsidR="00517264"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человек).</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целом на тысячу человек населения городского округа город Мегион приходится 8,8 малых и средних предприятий и 24,7 индивидуальных предпринимателя. </w:t>
      </w:r>
    </w:p>
    <w:p w:rsidR="00D36F70" w:rsidRPr="00906EA7" w:rsidRDefault="00D36F70" w:rsidP="00177661">
      <w:pPr>
        <w:pStyle w:val="ae"/>
        <w:spacing w:before="0" w:beforeAutospacing="0" w:after="0" w:afterAutospacing="0"/>
        <w:ind w:firstLine="709"/>
        <w:jc w:val="both"/>
      </w:pPr>
      <w:r w:rsidRPr="00906EA7">
        <w:t>Практически неизменной на протяжении последних лет остается отраслевая структура малого бизнеса. Наиболее распространенными видами деятельности малых и микропредприятий остаются такие отрасли экономики, как оптовая и розничная торговля, транспорт и связь, операции с недвижимым имуществом, аренда и предоставление услуг.</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lastRenderedPageBreak/>
        <w:t xml:space="preserve">Объем налоговых поступлений в городской бюджет от субъектов малого бизнеса за январь-декабрь 2019 года </w:t>
      </w:r>
      <w:r w:rsidR="00F119D3" w:rsidRPr="00906EA7">
        <w:rPr>
          <w:rFonts w:ascii="Times New Roman" w:hAnsi="Times New Roman" w:cs="Times New Roman"/>
          <w:sz w:val="24"/>
          <w:szCs w:val="24"/>
        </w:rPr>
        <w:t>составил 183,5 млн руб.</w:t>
      </w:r>
      <w:r w:rsidRPr="00906EA7">
        <w:rPr>
          <w:rFonts w:ascii="Times New Roman" w:hAnsi="Times New Roman" w:cs="Times New Roman"/>
          <w:sz w:val="24"/>
          <w:szCs w:val="24"/>
        </w:rPr>
        <w:t>, в том числе:</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виде единого налога на вмененный доход – 33,0 млн руб</w:t>
      </w:r>
      <w:r w:rsidR="00F119D3" w:rsidRPr="00906EA7">
        <w:rPr>
          <w:rFonts w:ascii="Times New Roman" w:hAnsi="Times New Roman" w:cs="Times New Roman"/>
          <w:sz w:val="24"/>
          <w:szCs w:val="24"/>
        </w:rPr>
        <w:t>.</w:t>
      </w:r>
      <w:r w:rsidRPr="00906EA7">
        <w:rPr>
          <w:rFonts w:ascii="Times New Roman" w:hAnsi="Times New Roman" w:cs="Times New Roman"/>
          <w:sz w:val="24"/>
          <w:szCs w:val="24"/>
        </w:rPr>
        <w:t>;</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упрощенной системе налогообложения – 142,0 млн руб</w:t>
      </w:r>
      <w:r w:rsidR="00F119D3" w:rsidRPr="00906EA7">
        <w:rPr>
          <w:rFonts w:ascii="Times New Roman" w:hAnsi="Times New Roman" w:cs="Times New Roman"/>
          <w:sz w:val="24"/>
          <w:szCs w:val="24"/>
        </w:rPr>
        <w:t>.</w:t>
      </w:r>
      <w:r w:rsidRPr="00906EA7">
        <w:rPr>
          <w:rFonts w:ascii="Times New Roman" w:hAnsi="Times New Roman" w:cs="Times New Roman"/>
          <w:sz w:val="24"/>
          <w:szCs w:val="24"/>
        </w:rPr>
        <w:t>;</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виде стоимости патента в связи с применением упрощенной системы налогообложения – 8,5 млн руб</w:t>
      </w:r>
      <w:r w:rsidR="00F119D3" w:rsidRPr="00906EA7">
        <w:rPr>
          <w:rFonts w:ascii="Times New Roman" w:hAnsi="Times New Roman" w:cs="Times New Roman"/>
          <w:sz w:val="24"/>
          <w:szCs w:val="24"/>
        </w:rPr>
        <w:t>.</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Удельный вес налогов на совокупный доход в общем объеме поступивших налоговых доходов в бюджет городского округа город Мегион снизился с 16,4% в январе-декабре 2018 года до 14,9% в январе-декабре 2019 года.</w:t>
      </w:r>
    </w:p>
    <w:p w:rsidR="000753F4" w:rsidRPr="00906EA7" w:rsidRDefault="000753F4" w:rsidP="00177661">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Основным инструментом реализации государственной политики в области развития бизнеса является </w:t>
      </w:r>
      <w:r w:rsidRPr="00906EA7">
        <w:rPr>
          <w:rFonts w:ascii="Times New Roman" w:eastAsia="Calibri Light" w:hAnsi="Times New Roman" w:cs="Times New Roman"/>
          <w:sz w:val="24"/>
          <w:szCs w:val="24"/>
          <w:shd w:val="clear" w:color="auto" w:fill="FFFFFF"/>
        </w:rPr>
        <w:t>муниципальная программа «Поддержка и развитие малого и среднего предпринимательства на территории городского округа город Мегион на 2019-2025 годы».</w:t>
      </w:r>
      <w:r w:rsidRPr="00906EA7">
        <w:rPr>
          <w:rFonts w:ascii="Times New Roman" w:eastAsia="Times New Roman" w:hAnsi="Times New Roman" w:cs="Times New Roman"/>
          <w:sz w:val="24"/>
          <w:szCs w:val="24"/>
          <w:lang w:eastAsia="ru-RU"/>
        </w:rPr>
        <w:t xml:space="preserve"> Общий объем финансирования мероприятий программы в 2019 году составил 5,12 млн руб., что на 8,7% меньше объема финансирования 2015 года (5,61 млн руб.)</w:t>
      </w:r>
      <w:r w:rsidRPr="00906EA7">
        <w:rPr>
          <w:rFonts w:ascii="Times New Roman" w:eastAsia="Calibri Light" w:hAnsi="Times New Roman" w:cs="Times New Roman"/>
          <w:sz w:val="24"/>
          <w:szCs w:val="24"/>
          <w:shd w:val="clear" w:color="auto" w:fill="FFFFFF"/>
        </w:rPr>
        <w:t xml:space="preserve">. Освоение программы составило 100%. В рамках программы в 2019 году получили финансовую поддержку 27 </w:t>
      </w:r>
      <w:r w:rsidR="00F119D3" w:rsidRPr="00906EA7">
        <w:rPr>
          <w:rFonts w:ascii="Times New Roman" w:eastAsia="Calibri Light" w:hAnsi="Times New Roman" w:cs="Times New Roman"/>
          <w:sz w:val="24"/>
          <w:szCs w:val="24"/>
          <w:shd w:val="clear" w:color="auto" w:fill="FFFFFF"/>
        </w:rPr>
        <w:t xml:space="preserve">          </w:t>
      </w:r>
      <w:r w:rsidRPr="00906EA7">
        <w:rPr>
          <w:rFonts w:ascii="Times New Roman" w:eastAsia="Calibri Light" w:hAnsi="Times New Roman" w:cs="Times New Roman"/>
          <w:sz w:val="24"/>
          <w:szCs w:val="24"/>
          <w:shd w:val="clear" w:color="auto" w:fill="FFFFFF"/>
        </w:rPr>
        <w:t>(в 2018 году – 24) субъектов малого и среднего предпринимательства, осуществляющие деятельность в приоритетных для города направлениях на сумму 4,51 млн</w:t>
      </w:r>
      <w:r w:rsidRPr="00906EA7">
        <w:rPr>
          <w:rFonts w:ascii="Times New Roman" w:eastAsia="Times New Roman" w:hAnsi="Times New Roman" w:cs="Times New Roman"/>
          <w:sz w:val="24"/>
          <w:szCs w:val="24"/>
          <w:lang w:eastAsia="ru-RU"/>
        </w:rPr>
        <w:t xml:space="preserve"> руб.</w:t>
      </w:r>
    </w:p>
    <w:p w:rsidR="000753F4" w:rsidRPr="00906EA7" w:rsidRDefault="000753F4" w:rsidP="00177661">
      <w:pPr>
        <w:spacing w:after="0" w:line="240" w:lineRule="auto"/>
        <w:ind w:right="40"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2019 году организованы и проведены: конкурс «Предприниматель года», выставка «Товары и услуги малого и среднего предпринимательства», семинар для вовлечения молодежи в предпринимательскую деятельность «Предпринимательство. Новое поколение. Взгляд в будущее», мониторинг деятельности субъектов малого и среднего предпринимательства с целью определения приоритетных направлений развития; изготовлено 2 тысячи буклетов муниципальной программы.</w:t>
      </w:r>
    </w:p>
    <w:p w:rsidR="000753F4" w:rsidRPr="00906EA7" w:rsidRDefault="000753F4" w:rsidP="00177661">
      <w:pPr>
        <w:spacing w:after="0" w:line="240" w:lineRule="auto"/>
        <w:ind w:right="40"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Мегионские товаропроизводители приняли участие в окружной выставке-форуме «Товары земли Югорской» и получили специальный диплом в номинации «Территория надежной социальной поддержки» фестиваля-конкурса муниципальных образований Югры «Лучшие из лучших!».</w:t>
      </w:r>
    </w:p>
    <w:p w:rsidR="000753F4" w:rsidRPr="00906EA7" w:rsidRDefault="000753F4" w:rsidP="00177661">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bCs/>
          <w:sz w:val="24"/>
          <w:szCs w:val="24"/>
        </w:rPr>
        <w:t>Предоставлена финансовая поддержка 6 начинающим предпринимателям, осуществляющим социально-значимые виды деятельности</w:t>
      </w:r>
      <w:r w:rsidR="00177661" w:rsidRPr="00906EA7">
        <w:rPr>
          <w:rFonts w:ascii="Times New Roman" w:eastAsia="Calibri" w:hAnsi="Times New Roman" w:cs="Times New Roman"/>
          <w:bCs/>
          <w:sz w:val="24"/>
          <w:szCs w:val="24"/>
        </w:rPr>
        <w:t>,</w:t>
      </w:r>
      <w:r w:rsidRPr="00906EA7">
        <w:rPr>
          <w:rFonts w:ascii="Times New Roman" w:eastAsia="Calibri" w:hAnsi="Times New Roman" w:cs="Times New Roman"/>
          <w:bCs/>
          <w:sz w:val="24"/>
          <w:szCs w:val="24"/>
        </w:rPr>
        <w:t xml:space="preserve"> в размере 1,3 млн руб.</w:t>
      </w:r>
    </w:p>
    <w:p w:rsidR="000753F4" w:rsidRPr="00906EA7" w:rsidRDefault="000753F4" w:rsidP="00177661">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рамках реализации программы субъектами предпринимательства создано 17 рабочих мест, что на 64,7% выше планируемых показателей (6 рабочих мест).</w:t>
      </w:r>
    </w:p>
    <w:p w:rsidR="000753F4" w:rsidRPr="00906EA7" w:rsidRDefault="000753F4" w:rsidP="00177661">
      <w:pPr>
        <w:widowControl w:val="0"/>
        <w:spacing w:after="0" w:line="240" w:lineRule="auto"/>
        <w:ind w:firstLine="709"/>
        <w:jc w:val="both"/>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sz w:val="24"/>
          <w:szCs w:val="24"/>
          <w:lang w:eastAsia="ru-RU"/>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газете «Мегионские новости», на телевидении, в социальных сетях.</w:t>
      </w:r>
    </w:p>
    <w:p w:rsidR="000753F4" w:rsidRPr="00906EA7" w:rsidRDefault="000753F4" w:rsidP="00177661">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Для координации деятельности субъектов малого и среднего предпринимательства городского округа осуществляют деятельность Нижневартовский филиал Фонда поддержки предпринимательства Югры, </w:t>
      </w:r>
      <w:r w:rsidRPr="00906EA7">
        <w:rPr>
          <w:rFonts w:ascii="Times New Roman" w:eastAsia="Calibri" w:hAnsi="Times New Roman" w:cs="Times New Roman"/>
          <w:sz w:val="24"/>
          <w:szCs w:val="24"/>
          <w:shd w:val="clear" w:color="auto" w:fill="FFFFFF"/>
        </w:rPr>
        <w:t>фонд «Югорская региональная микрокредитная компания»</w:t>
      </w:r>
      <w:r w:rsidRPr="00906EA7">
        <w:rPr>
          <w:rFonts w:ascii="Times New Roman" w:eastAsia="Calibri" w:hAnsi="Times New Roman" w:cs="Times New Roman"/>
          <w:sz w:val="24"/>
          <w:szCs w:val="24"/>
        </w:rPr>
        <w:t>, Нижневартовская торгово-промышленная палата, общественная организация содействия развитию предпринимательства в городе Мегионе, Мегионская ассоциация малого и среднего бизнеса.</w:t>
      </w:r>
    </w:p>
    <w:p w:rsidR="000753F4" w:rsidRDefault="000753F4" w:rsidP="00177661">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отчетный период Фондом поддержки предпринимательства Югры и ф</w:t>
      </w:r>
      <w:r w:rsidRPr="00906EA7">
        <w:rPr>
          <w:rFonts w:ascii="Times New Roman" w:eastAsia="Calibri" w:hAnsi="Times New Roman" w:cs="Times New Roman"/>
          <w:sz w:val="24"/>
          <w:szCs w:val="24"/>
          <w:shd w:val="clear" w:color="auto" w:fill="FFFFFF"/>
        </w:rPr>
        <w:t>ондом «Югорская региональная микрокредитная компания»</w:t>
      </w:r>
      <w:r w:rsidRPr="00906EA7">
        <w:rPr>
          <w:rFonts w:ascii="Times New Roman" w:eastAsia="Calibri" w:hAnsi="Times New Roman" w:cs="Times New Roman"/>
          <w:sz w:val="24"/>
          <w:szCs w:val="24"/>
        </w:rPr>
        <w:t xml:space="preserve"> предоставлялись поручительства по займам и 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среднего бизнеса.</w:t>
      </w:r>
    </w:p>
    <w:p w:rsidR="00906EA7" w:rsidRPr="00906EA7" w:rsidRDefault="00906EA7" w:rsidP="00177661">
      <w:pPr>
        <w:spacing w:after="0" w:line="240" w:lineRule="auto"/>
        <w:ind w:firstLine="709"/>
        <w:jc w:val="both"/>
        <w:rPr>
          <w:rFonts w:ascii="Times New Roman" w:eastAsia="Calibri" w:hAnsi="Times New Roman" w:cs="Times New Roman"/>
          <w:sz w:val="24"/>
          <w:szCs w:val="24"/>
        </w:rPr>
      </w:pPr>
    </w:p>
    <w:bookmarkEnd w:id="1"/>
    <w:p w:rsidR="005A2708" w:rsidRPr="00906EA7" w:rsidRDefault="005A2708" w:rsidP="0097253F">
      <w:pPr>
        <w:spacing w:after="0" w:line="240" w:lineRule="auto"/>
        <w:ind w:firstLine="708"/>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ЖИЛИЩНО-КОММУНАЛЬНЫЙ КОМПЛЕКС</w:t>
      </w:r>
    </w:p>
    <w:p w:rsidR="00911E52" w:rsidRPr="00906EA7" w:rsidRDefault="00911E52" w:rsidP="0097253F">
      <w:pPr>
        <w:pStyle w:val="ae"/>
        <w:spacing w:before="0" w:beforeAutospacing="0" w:after="0" w:afterAutospacing="0"/>
        <w:ind w:firstLine="709"/>
        <w:jc w:val="both"/>
      </w:pPr>
    </w:p>
    <w:p w:rsidR="00D30182"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Основной задачей органов местного самоуправления городского округа в сфере жилищно-коммунального хозяйства является создание условий, организация и обеспечение процессов, связанных с предоставлением жилищно-коммунальных услуг, используя все </w:t>
      </w:r>
      <w:r w:rsidRPr="00906EA7">
        <w:rPr>
          <w:rFonts w:ascii="Times New Roman" w:eastAsia="Times New Roman" w:hAnsi="Times New Roman" w:cs="Times New Roman"/>
          <w:sz w:val="24"/>
          <w:szCs w:val="24"/>
          <w:lang w:eastAsia="ru-RU"/>
        </w:rPr>
        <w:lastRenderedPageBreak/>
        <w:t>имеющиеся ресурсы.</w:t>
      </w:r>
    </w:p>
    <w:p w:rsidR="00D30182"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Жилищно-коммунальный комплекс городского округа город Мегион представляют предприятия различных форм собственности, которые обеспечивают жилищно-коммунальными услугами все категории потребителей, основными из которых являются:</w:t>
      </w:r>
    </w:p>
    <w:p w:rsidR="00D30182"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муниципальное унитарное предприятие «Тепловодоканал» осуществляет производство и снабжение тепловой энергией, водоснабжением и водоотведением, обслуживание части сетей газоснабжения городского округа;</w:t>
      </w:r>
    </w:p>
    <w:p w:rsidR="00EC0A4C" w:rsidRPr="00906EA7" w:rsidRDefault="004D7A86" w:rsidP="0097253F">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акционерное общество «Газпром </w:t>
      </w:r>
      <w:r w:rsidR="00EC0A4C" w:rsidRPr="00906EA7">
        <w:rPr>
          <w:rFonts w:ascii="Times New Roman" w:eastAsia="Times New Roman" w:hAnsi="Times New Roman" w:cs="Times New Roman"/>
          <w:sz w:val="24"/>
          <w:szCs w:val="24"/>
          <w:lang w:eastAsia="ru-RU"/>
        </w:rPr>
        <w:t>Э</w:t>
      </w:r>
      <w:r w:rsidRPr="00906EA7">
        <w:rPr>
          <w:rFonts w:ascii="Times New Roman" w:eastAsia="Times New Roman" w:hAnsi="Times New Roman" w:cs="Times New Roman"/>
          <w:sz w:val="24"/>
          <w:szCs w:val="24"/>
          <w:lang w:eastAsia="ru-RU"/>
        </w:rPr>
        <w:t>нергосбыт Тюмень» реализует электрическую энерг</w:t>
      </w:r>
      <w:r w:rsidR="00EC0A4C" w:rsidRPr="00906EA7">
        <w:rPr>
          <w:rFonts w:ascii="Times New Roman" w:eastAsia="Times New Roman" w:hAnsi="Times New Roman" w:cs="Times New Roman"/>
          <w:sz w:val="24"/>
          <w:szCs w:val="24"/>
          <w:lang w:eastAsia="ru-RU"/>
        </w:rPr>
        <w:t>ию всем категориям потребителей;</w:t>
      </w:r>
      <w:r w:rsidRPr="00906EA7">
        <w:rPr>
          <w:rFonts w:ascii="Times New Roman" w:eastAsia="Times New Roman" w:hAnsi="Times New Roman" w:cs="Times New Roman"/>
          <w:sz w:val="24"/>
          <w:szCs w:val="24"/>
          <w:lang w:eastAsia="ru-RU"/>
        </w:rPr>
        <w:t xml:space="preserve"> </w:t>
      </w:r>
    </w:p>
    <w:p w:rsidR="00D30182" w:rsidRPr="00906EA7" w:rsidRDefault="004D7A86" w:rsidP="0097253F">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техническое обслуживание электрических сетей и подстанций;</w:t>
      </w:r>
    </w:p>
    <w:p w:rsidR="00EC0A4C" w:rsidRPr="00906EA7" w:rsidRDefault="00EC0A4C"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w:t>
      </w:r>
    </w:p>
    <w:p w:rsidR="004D7A86"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открытое акционерное общество «Жилищно-коммунальное управление» является управляющей компанией в городе Мегионе и поселке городского типа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городского округа, </w:t>
      </w:r>
      <w:r w:rsidR="00091F72" w:rsidRPr="00097C6E">
        <w:rPr>
          <w:rFonts w:ascii="Times New Roman" w:eastAsia="Times New Roman" w:hAnsi="Times New Roman" w:cs="Times New Roman"/>
          <w:color w:val="000000" w:themeColor="text1"/>
          <w:sz w:val="24"/>
          <w:szCs w:val="24"/>
          <w:lang w:eastAsia="ru-RU"/>
        </w:rPr>
        <w:t xml:space="preserve">так и оказывает услуги по откачке и вывозу жидких бытовых отходов </w:t>
      </w:r>
      <w:r w:rsidR="00091F72">
        <w:rPr>
          <w:rFonts w:ascii="Times New Roman" w:eastAsia="Times New Roman" w:hAnsi="Times New Roman" w:cs="Times New Roman"/>
          <w:color w:val="000000" w:themeColor="text1"/>
          <w:sz w:val="24"/>
          <w:szCs w:val="24"/>
          <w:lang w:eastAsia="ru-RU"/>
        </w:rPr>
        <w:t xml:space="preserve">из </w:t>
      </w:r>
      <w:r w:rsidR="00091F72" w:rsidRPr="00097C6E">
        <w:rPr>
          <w:rFonts w:ascii="Times New Roman" w:hAnsi="Times New Roman" w:cs="Times New Roman"/>
          <w:sz w:val="24"/>
          <w:szCs w:val="24"/>
        </w:rPr>
        <w:t>неблагоустроенного жилищного фонда городского округа</w:t>
      </w:r>
      <w:r w:rsidR="00091F72" w:rsidRPr="00097C6E">
        <w:rPr>
          <w:rFonts w:ascii="Times New Roman" w:eastAsia="Times New Roman" w:hAnsi="Times New Roman" w:cs="Times New Roman"/>
          <w:color w:val="000000" w:themeColor="text1"/>
          <w:sz w:val="24"/>
          <w:szCs w:val="24"/>
          <w:lang w:eastAsia="ru-RU"/>
        </w:rPr>
        <w:t>, завозу питьевой воды автотранспортом в неблагоустроенном жилищном</w:t>
      </w:r>
      <w:r w:rsidR="00091F72">
        <w:rPr>
          <w:rFonts w:ascii="Times New Roman" w:eastAsia="Times New Roman" w:hAnsi="Times New Roman" w:cs="Times New Roman"/>
          <w:color w:val="000000" w:themeColor="text1"/>
          <w:sz w:val="24"/>
          <w:szCs w:val="24"/>
          <w:lang w:eastAsia="ru-RU"/>
        </w:rPr>
        <w:t xml:space="preserve"> фонде</w:t>
      </w:r>
      <w:r w:rsidR="00091F72" w:rsidRPr="000B636E">
        <w:rPr>
          <w:rFonts w:ascii="Times New Roman" w:eastAsia="Times New Roman" w:hAnsi="Times New Roman" w:cs="Times New Roman"/>
          <w:color w:val="000000" w:themeColor="text1"/>
          <w:sz w:val="24"/>
          <w:szCs w:val="24"/>
          <w:lang w:eastAsia="ru-RU"/>
        </w:rPr>
        <w:t>, утилизации (захоронению) твердых коммунальных отходов</w:t>
      </w:r>
      <w:r w:rsidR="00EC0A4C" w:rsidRPr="00906EA7">
        <w:rPr>
          <w:rFonts w:ascii="Times New Roman" w:eastAsia="Times New Roman" w:hAnsi="Times New Roman" w:cs="Times New Roman"/>
          <w:sz w:val="24"/>
          <w:szCs w:val="24"/>
          <w:lang w:eastAsia="ru-RU"/>
        </w:rPr>
        <w:t>;</w:t>
      </w:r>
    </w:p>
    <w:p w:rsidR="00EC0A4C" w:rsidRPr="00906EA7" w:rsidRDefault="00EC0A4C" w:rsidP="0097253F">
      <w:pPr>
        <w:keepNext/>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акционерное общество «Мегионгазсервис» осуществляет реализацию потребителям сжиженного газа;</w:t>
      </w:r>
    </w:p>
    <w:p w:rsidR="00EC0A4C" w:rsidRPr="00906EA7" w:rsidRDefault="00EC0A4C" w:rsidP="0097253F">
      <w:pPr>
        <w:keepNext/>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акционерное общество </w:t>
      </w:r>
      <w:r w:rsidRPr="00906EA7">
        <w:rPr>
          <w:rFonts w:ascii="Times New Roman" w:hAnsi="Times New Roman"/>
          <w:sz w:val="24"/>
          <w:szCs w:val="24"/>
        </w:rPr>
        <w:t>«Югра-Экология» осуществляет функции регионального оператора по обращению с твердыми коммунальными отходами.</w:t>
      </w:r>
    </w:p>
    <w:p w:rsidR="004D7A86" w:rsidRPr="00906EA7" w:rsidRDefault="004D7A86" w:rsidP="0097253F">
      <w:pPr>
        <w:keepNext/>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город Мегион является муниципальное унитарное предприятие «Тепловодоканал».</w:t>
      </w:r>
    </w:p>
    <w:p w:rsidR="004D7A86"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 жилом помещении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rsidR="004D7A86" w:rsidRPr="00906EA7" w:rsidRDefault="004D7A86" w:rsidP="009725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w:t>
      </w:r>
      <w:r w:rsidR="005543E9" w:rsidRPr="00906EA7">
        <w:rPr>
          <w:rFonts w:ascii="Times New Roman" w:hAnsi="Times New Roman" w:cs="Times New Roman"/>
          <w:sz w:val="24"/>
          <w:szCs w:val="24"/>
        </w:rPr>
        <w:t>и электроплитами, составляет 78,3</w:t>
      </w:r>
      <w:r w:rsidRPr="00906EA7">
        <w:rPr>
          <w:rFonts w:ascii="Times New Roman" w:hAnsi="Times New Roman" w:cs="Times New Roman"/>
          <w:sz w:val="24"/>
          <w:szCs w:val="24"/>
        </w:rPr>
        <w:t>%, в том числе:</w:t>
      </w:r>
    </w:p>
    <w:p w:rsidR="00F119D3" w:rsidRPr="00906EA7" w:rsidRDefault="00F119D3" w:rsidP="0097253F">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gridCol w:w="850"/>
      </w:tblGrid>
      <w:tr w:rsidR="004D7A86" w:rsidRPr="00906EA7" w:rsidTr="004803A3">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78,3</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водопроводом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99,7</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канализацией</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99,6</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отоплением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99,6</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ваннами (душем)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97,0</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газом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1,4</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78,3</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850" w:type="dxa"/>
            <w:shd w:val="clear" w:color="auto" w:fill="auto"/>
            <w:vAlign w:val="center"/>
            <w:hideMark/>
          </w:tcPr>
          <w:p w:rsidR="004D7A86" w:rsidRPr="00906EA7" w:rsidRDefault="004D7A86"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w:t>
            </w:r>
            <w:r w:rsidR="005543E9" w:rsidRPr="00906EA7">
              <w:rPr>
                <w:rFonts w:ascii="Times New Roman" w:eastAsia="Times New Roman" w:hAnsi="Times New Roman" w:cs="Times New Roman"/>
                <w:sz w:val="24"/>
                <w:szCs w:val="24"/>
                <w:lang w:eastAsia="ru-RU"/>
              </w:rPr>
              <w:t>5</w:t>
            </w:r>
          </w:p>
        </w:tc>
      </w:tr>
    </w:tbl>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Муниципальное унитарное предприятие «Тепловодоканал» обслуживает 2 </w:t>
      </w:r>
      <w:r w:rsidRPr="00906EA7">
        <w:rPr>
          <w:rFonts w:ascii="Times New Roman" w:eastAsia="Times New Roman" w:hAnsi="Times New Roman" w:cs="Times New Roman"/>
          <w:sz w:val="24"/>
          <w:szCs w:val="24"/>
          <w:lang w:eastAsia="ru-RU"/>
        </w:rPr>
        <w:lastRenderedPageBreak/>
        <w:t xml:space="preserve">независимые системы теплоснабжения по городу Мегиону и поселку городского типа Высокий, которые являются централизованными. </w:t>
      </w:r>
    </w:p>
    <w:p w:rsidR="004D7A86" w:rsidRPr="00906EA7" w:rsidRDefault="004D7A86" w:rsidP="0097253F">
      <w:pPr>
        <w:keepNext/>
        <w:spacing w:after="0" w:line="240" w:lineRule="auto"/>
        <w:ind w:firstLine="720"/>
        <w:jc w:val="both"/>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906EA7">
        <w:rPr>
          <w:rFonts w:ascii="Times New Roman" w:hAnsi="Times New Roman" w:cs="Times New Roman"/>
          <w:sz w:val="24"/>
          <w:szCs w:val="24"/>
        </w:rPr>
        <w:t xml:space="preserve">Котельная «Северная» с установленной мощностью 60 Гкал/ч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0F13B5"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Источником теплоснабжения в поселке городского типа Высокий является котельная «Центральная» общей тепловой мощностью 59,6 Гкал/час. </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Основную долю в топливном балансе котельных составляет газ - 99,7%, нефть составляет - 0,3%.</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Система теплоснабжения городского округа включает:</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 установленных котлов с суммарной тепловой мощностью 453,6 Гкал/час;</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 центральный тепловой пункт;</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протяженность тепловых сетей в двухтрубном исчислении, состоящих на балансе муниципального унитарного предприятия «Тепловодоканал» составляет 150,9 км</w:t>
      </w:r>
      <w:r w:rsidR="000F13B5" w:rsidRPr="00906EA7">
        <w:rPr>
          <w:rFonts w:ascii="Times New Roman" w:eastAsia="Times New Roman" w:hAnsi="Times New Roman" w:cs="Times New Roman"/>
          <w:sz w:val="24"/>
          <w:szCs w:val="24"/>
          <w:lang w:eastAsia="ru-RU"/>
        </w:rPr>
        <w:t xml:space="preserve">, </w:t>
      </w:r>
      <w:r w:rsidR="000F13B5" w:rsidRPr="00906EA7">
        <w:rPr>
          <w:rFonts w:ascii="Times New Roman" w:hAnsi="Times New Roman" w:cs="Times New Roman"/>
          <w:sz w:val="24"/>
          <w:szCs w:val="24"/>
        </w:rPr>
        <w:t>из них ветхих 7,39 км. Износ сетей составляет 79,5%.</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Услугой центрального теплоснабжения городского округа охвачено 99,4% общей площади жилищного фонда, горячее водоснабжение присутствует только у 77,8% жилищного фонда.</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1617D8" w:rsidRPr="00906EA7" w:rsidRDefault="001617D8"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906EA7" w:rsidRDefault="004D7A86"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Структура отпуска тепловой энергии по потребителям</w:t>
      </w:r>
    </w:p>
    <w:tbl>
      <w:tblPr>
        <w:tblStyle w:val="a3"/>
        <w:tblW w:w="0" w:type="auto"/>
        <w:tblInd w:w="0" w:type="dxa"/>
        <w:tblLook w:val="04A0" w:firstRow="1" w:lastRow="0" w:firstColumn="1" w:lastColumn="0" w:noHBand="0" w:noVBand="1"/>
      </w:tblPr>
      <w:tblGrid>
        <w:gridCol w:w="1970"/>
        <w:gridCol w:w="1971"/>
        <w:gridCol w:w="1971"/>
        <w:gridCol w:w="1971"/>
        <w:gridCol w:w="1971"/>
      </w:tblGrid>
      <w:tr w:rsidR="004D7A86" w:rsidRPr="00906EA7" w:rsidTr="004D7A86">
        <w:tc>
          <w:tcPr>
            <w:tcW w:w="1970"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Период</w:t>
            </w:r>
          </w:p>
        </w:tc>
        <w:tc>
          <w:tcPr>
            <w:tcW w:w="1971"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Объем производства, всего тыс. Гкал</w:t>
            </w:r>
          </w:p>
        </w:tc>
        <w:tc>
          <w:tcPr>
            <w:tcW w:w="1971"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Доля населения в общем объеме, %</w:t>
            </w:r>
          </w:p>
        </w:tc>
        <w:tc>
          <w:tcPr>
            <w:tcW w:w="1971"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Доля бюджетных организаций в общем объеме, %</w:t>
            </w:r>
          </w:p>
        </w:tc>
        <w:tc>
          <w:tcPr>
            <w:tcW w:w="1971"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Доля прочих в общем объеме, %</w:t>
            </w:r>
          </w:p>
        </w:tc>
      </w:tr>
      <w:tr w:rsidR="000F13B5" w:rsidRPr="00906EA7" w:rsidTr="00F546EE">
        <w:tc>
          <w:tcPr>
            <w:tcW w:w="1970"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2017 год</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415,07</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58,0</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10,0</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32,0</w:t>
            </w:r>
          </w:p>
        </w:tc>
      </w:tr>
      <w:tr w:rsidR="000F13B5" w:rsidRPr="00906EA7" w:rsidTr="00F546EE">
        <w:tc>
          <w:tcPr>
            <w:tcW w:w="1970"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2018 год</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403,60</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57,5</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13,8</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28,7</w:t>
            </w:r>
          </w:p>
        </w:tc>
      </w:tr>
      <w:tr w:rsidR="004D7A86" w:rsidRPr="00906EA7" w:rsidTr="00F546EE">
        <w:tc>
          <w:tcPr>
            <w:tcW w:w="1970" w:type="dxa"/>
            <w:vAlign w:val="center"/>
          </w:tcPr>
          <w:p w:rsidR="004D7A86" w:rsidRPr="00906EA7" w:rsidRDefault="004D7A86"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201</w:t>
            </w:r>
            <w:r w:rsidR="000F13B5" w:rsidRPr="00906EA7">
              <w:rPr>
                <w:rFonts w:ascii="Times New Roman" w:eastAsia="Times New Roman" w:hAnsi="Times New Roman"/>
                <w:sz w:val="24"/>
                <w:szCs w:val="24"/>
                <w:lang w:eastAsia="ru-RU"/>
              </w:rPr>
              <w:t>9</w:t>
            </w:r>
            <w:r w:rsidRPr="00906EA7">
              <w:rPr>
                <w:rFonts w:ascii="Times New Roman" w:eastAsia="Times New Roman" w:hAnsi="Times New Roman"/>
                <w:sz w:val="24"/>
                <w:szCs w:val="24"/>
                <w:lang w:eastAsia="ru-RU"/>
              </w:rPr>
              <w:t xml:space="preserve"> год</w:t>
            </w:r>
          </w:p>
        </w:tc>
        <w:tc>
          <w:tcPr>
            <w:tcW w:w="1971" w:type="dxa"/>
            <w:vAlign w:val="center"/>
          </w:tcPr>
          <w:p w:rsidR="004D7A86"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467,75</w:t>
            </w:r>
          </w:p>
        </w:tc>
        <w:tc>
          <w:tcPr>
            <w:tcW w:w="1971" w:type="dxa"/>
            <w:vAlign w:val="center"/>
          </w:tcPr>
          <w:p w:rsidR="004D7A86"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55,2</w:t>
            </w:r>
          </w:p>
        </w:tc>
        <w:tc>
          <w:tcPr>
            <w:tcW w:w="1971" w:type="dxa"/>
            <w:vAlign w:val="center"/>
          </w:tcPr>
          <w:p w:rsidR="004D7A86" w:rsidRPr="00906EA7" w:rsidRDefault="004D7A86"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13,8</w:t>
            </w:r>
          </w:p>
        </w:tc>
        <w:tc>
          <w:tcPr>
            <w:tcW w:w="1971" w:type="dxa"/>
            <w:vAlign w:val="center"/>
          </w:tcPr>
          <w:p w:rsidR="004D7A86"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31,0</w:t>
            </w:r>
          </w:p>
        </w:tc>
      </w:tr>
    </w:tbl>
    <w:p w:rsidR="00D30182" w:rsidRPr="00906EA7" w:rsidRDefault="00D30182" w:rsidP="0097253F">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Объем реализации тепла в сравнении с 2018 годом увеличился на 16%. </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на котельной «Южная» выполнен капитальный ремонт обмуровки и футеровки всех котлов;</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 xml:space="preserve">выполнен капитальный ремонт сетей тепло-, водоснабжения общей протяженностью 3,2 км, что обеспечило </w:t>
      </w:r>
      <w:r w:rsidRPr="00906EA7">
        <w:rPr>
          <w:rFonts w:ascii="Times New Roman" w:hAnsi="Times New Roman" w:cs="Times New Roman"/>
          <w:sz w:val="24"/>
          <w:szCs w:val="24"/>
        </w:rPr>
        <w:t xml:space="preserve">снижение доли ветхих инженерных сетей теплоснабжения (на 36,1%), водоснабжения (на 7,2%) </w:t>
      </w:r>
      <w:r w:rsidRPr="00906EA7">
        <w:rPr>
          <w:rFonts w:ascii="Times New Roman" w:eastAsia="Times New Roman" w:hAnsi="Times New Roman" w:cs="Times New Roman"/>
          <w:sz w:val="24"/>
          <w:szCs w:val="24"/>
        </w:rPr>
        <w:t>а также ремонт запорной арматуры в городе и поселке городского типа Высокий;</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по результатам гидравлических испытаний проведены ремонтные работы сетей       тепло-, водоснабжения на территории городского округа;</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выполнен ремонт и ревизия газового оборудования котельных «Южная» и «Центральная»;</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выполнен капитальный ремонт тепловой изоляции сетей теплоснабжения городского округа;</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выполнен капитальный ремонт кровли здания котельной «Южная.</w:t>
      </w:r>
    </w:p>
    <w:p w:rsidR="00A043E5" w:rsidRPr="00906EA7" w:rsidRDefault="00A043E5" w:rsidP="0097253F">
      <w:pPr>
        <w:widowControl w:val="0"/>
        <w:spacing w:after="0" w:line="240" w:lineRule="auto"/>
        <w:ind w:firstLine="709"/>
        <w:jc w:val="both"/>
        <w:rPr>
          <w:rFonts w:ascii="Times New Roman" w:hAnsi="Times New Roman" w:cs="Times New Roman"/>
          <w:sz w:val="24"/>
          <w:szCs w:val="24"/>
        </w:rPr>
      </w:pPr>
      <w:r w:rsidRPr="00906EA7">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с целью </w:t>
      </w:r>
      <w:r w:rsidRPr="00906EA7">
        <w:rPr>
          <w:rFonts w:ascii="Times New Roman" w:hAnsi="Times New Roman" w:cs="Times New Roman"/>
          <w:sz w:val="24"/>
          <w:szCs w:val="24"/>
        </w:rPr>
        <w:t xml:space="preserve">возмещения понесенных затрат ответственной организации по капитальному ремонту (в том числе с заменой) систем газораспределения, теплоснабжения, водоснабжения </w:t>
      </w:r>
      <w:r w:rsidRPr="00906EA7">
        <w:rPr>
          <w:rFonts w:ascii="Times New Roman" w:hAnsi="Times New Roman" w:cs="Times New Roman"/>
          <w:sz w:val="24"/>
          <w:szCs w:val="24"/>
        </w:rPr>
        <w:lastRenderedPageBreak/>
        <w:t>и водоотведения, в том числе с применением композитных материалов, в период подготовки к эксплуатации в осенне-зимний период, администрацией города муниципальному унитарному предприятию «Тепловодоканал» предоставлена субсидия на данные цели на общую сумму 22,1 млн руб., в том числе средства местного бюджета – 6,0 млн руб., средства окружного бюджета – 16,1 млн руб.</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подготовка воды до требований СанПиН 2.1.4.1074-01 «Вода питьевая»;</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систему водоснабжения городского округа город Мегион входят:</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водозабора;</w:t>
      </w:r>
    </w:p>
    <w:p w:rsidR="00A043E5" w:rsidRPr="00906EA7" w:rsidRDefault="00A043E5" w:rsidP="0097253F">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31 артезианская скважина;</w:t>
      </w:r>
    </w:p>
    <w:p w:rsidR="00A043E5" w:rsidRPr="00906EA7" w:rsidRDefault="00A043E5" w:rsidP="0097253F">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насосные станции II подъема, в том числе:</w:t>
      </w:r>
    </w:p>
    <w:p w:rsidR="00A043E5" w:rsidRPr="00906EA7" w:rsidRDefault="00A043E5" w:rsidP="0097253F">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единицы водоочистных сооружений;</w:t>
      </w:r>
    </w:p>
    <w:p w:rsidR="00A043E5" w:rsidRPr="00906EA7" w:rsidRDefault="00A043E5" w:rsidP="0097253F">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 резервуаров чистой воды;</w:t>
      </w:r>
    </w:p>
    <w:p w:rsidR="00A043E5" w:rsidRPr="00906EA7" w:rsidRDefault="00A043E5" w:rsidP="0097253F">
      <w:pPr>
        <w:pStyle w:val="af2"/>
        <w:keepNext/>
        <w:widowControl w:val="0"/>
        <w:ind w:firstLine="709"/>
        <w:jc w:val="both"/>
        <w:rPr>
          <w:rFonts w:ascii="Times New Roman" w:hAnsi="Times New Roman"/>
          <w:sz w:val="24"/>
          <w:szCs w:val="24"/>
        </w:rPr>
      </w:pPr>
      <w:r w:rsidRPr="00906EA7">
        <w:rPr>
          <w:rFonts w:ascii="Times New Roman" w:eastAsia="Times New Roman" w:hAnsi="Times New Roman"/>
          <w:sz w:val="24"/>
          <w:szCs w:val="24"/>
          <w:lang w:eastAsia="ru-RU"/>
        </w:rPr>
        <w:t xml:space="preserve">общая протяженность водопроводных сетей составляет 150,2 км, </w:t>
      </w:r>
      <w:r w:rsidRPr="00906EA7">
        <w:rPr>
          <w:rFonts w:ascii="Times New Roman" w:hAnsi="Times New Roman"/>
          <w:sz w:val="24"/>
          <w:szCs w:val="24"/>
        </w:rPr>
        <w:t>из них ветхих 7,6 км, износ – 91%.</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Источником водоснабжения города и поселка городского типа Высокий являются подземные воды Атлым-Новомихайловского и Тавдинского водоносных комплексов.</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Централизованное хозяйственно-питьевое водоснабжение осуществляется от трех водозаборов - два расположены в городе и один в поселке городского типа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 износ оборудования составляет более 70%.</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Система водоснабжения городского округа – централизованная, однозонная. Хозяйственно-питьевое водоснабжение осуществляется через магистральные и внутриквартальные сети. Износ водопроводных сетей составляет более 90%. </w:t>
      </w:r>
    </w:p>
    <w:p w:rsidR="00A043E5" w:rsidRPr="00906EA7" w:rsidRDefault="00A043E5" w:rsidP="0097253F">
      <w:pPr>
        <w:widowControl w:val="0"/>
        <w:spacing w:after="0" w:line="240" w:lineRule="auto"/>
        <w:ind w:firstLine="709"/>
        <w:jc w:val="both"/>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 xml:space="preserve"> В 2019 году реализовано потребителям 2 828,26 тыс. куб. м, о</w:t>
      </w:r>
      <w:r w:rsidRPr="00906EA7">
        <w:rPr>
          <w:rFonts w:ascii="Times New Roman" w:eastAsia="Times New Roman" w:hAnsi="Times New Roman" w:cs="Times New Roman"/>
          <w:sz w:val="24"/>
          <w:szCs w:val="24"/>
          <w:lang w:eastAsia="ru-RU"/>
        </w:rPr>
        <w:t>сновным потребителем услуг водоснабжения является население – 81,6%; бюджетные организации, прочие потребители – 18,4%.</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Утечки и неучтенный расход составляют 18% от поданной воды в сеть. Расход на собственные нужды для водоподготовки составил 6% от объема поднятой воды.</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906EA7" w:rsidRDefault="004D7A86" w:rsidP="0097253F">
      <w:pPr>
        <w:widowControl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Основные производственные показатели водоснабжения</w:t>
      </w:r>
    </w:p>
    <w:p w:rsidR="004D7A86" w:rsidRPr="00906EA7" w:rsidRDefault="004D7A86" w:rsidP="0097253F">
      <w:pPr>
        <w:widowControl w:val="0"/>
        <w:spacing w:after="0" w:line="240" w:lineRule="auto"/>
        <w:ind w:firstLine="70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08"/>
        <w:gridCol w:w="1298"/>
        <w:gridCol w:w="1298"/>
        <w:gridCol w:w="1298"/>
        <w:gridCol w:w="1298"/>
        <w:gridCol w:w="1298"/>
      </w:tblGrid>
      <w:tr w:rsidR="00A043E5" w:rsidRPr="00906EA7" w:rsidTr="00141482">
        <w:trPr>
          <w:trHeight w:val="587"/>
          <w:tblHeader/>
        </w:trPr>
        <w:tc>
          <w:tcPr>
            <w:tcW w:w="1654" w:type="pct"/>
            <w:vAlign w:val="center"/>
            <w:hideMark/>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Показатели</w:t>
            </w:r>
          </w:p>
        </w:tc>
        <w:tc>
          <w:tcPr>
            <w:tcW w:w="669" w:type="pct"/>
            <w:vAlign w:val="center"/>
            <w:hideMark/>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ед. изм.</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906EA7">
              <w:rPr>
                <w:rFonts w:ascii="Times New Roman" w:eastAsia="Calibri Light" w:hAnsi="Times New Roman" w:cs="Times New Roman"/>
                <w:sz w:val="20"/>
                <w:szCs w:val="20"/>
              </w:rPr>
              <w:t>2017 год</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2018 год</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2019 год</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906EA7">
              <w:rPr>
                <w:rFonts w:ascii="Times New Roman" w:eastAsia="Calibri Light" w:hAnsi="Times New Roman" w:cs="Times New Roman"/>
                <w:sz w:val="20"/>
                <w:szCs w:val="20"/>
              </w:rPr>
              <w:t>Темп роста (снижения)</w:t>
            </w:r>
          </w:p>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rPr>
              <w:t>%</w:t>
            </w:r>
          </w:p>
        </w:tc>
      </w:tr>
      <w:tr w:rsidR="00A043E5" w:rsidRPr="00906EA7" w:rsidTr="00141482">
        <w:trPr>
          <w:trHeight w:val="176"/>
        </w:trPr>
        <w:tc>
          <w:tcPr>
            <w:tcW w:w="1654" w:type="pct"/>
            <w:vAlign w:val="center"/>
            <w:hideMark/>
          </w:tcPr>
          <w:p w:rsidR="00A043E5" w:rsidRPr="00906EA7" w:rsidRDefault="00A043E5"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Объем реализации всего</w:t>
            </w:r>
          </w:p>
        </w:tc>
        <w:tc>
          <w:tcPr>
            <w:tcW w:w="669" w:type="pct"/>
            <w:vAlign w:val="center"/>
            <w:hideMark/>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906EA7">
              <w:rPr>
                <w:rFonts w:ascii="Times New Roman" w:eastAsia="Calibri Light" w:hAnsi="Times New Roman" w:cs="Times New Roman"/>
                <w:sz w:val="20"/>
                <w:szCs w:val="20"/>
                <w:lang w:eastAsia="ru-RU"/>
              </w:rPr>
              <w:t>тыс. куб. м</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3 113,02</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3048,11</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2828,26</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92,8</w:t>
            </w:r>
          </w:p>
        </w:tc>
      </w:tr>
      <w:tr w:rsidR="00A043E5" w:rsidRPr="00906EA7" w:rsidTr="00141482">
        <w:trPr>
          <w:trHeight w:val="74"/>
        </w:trPr>
        <w:tc>
          <w:tcPr>
            <w:tcW w:w="1654" w:type="pct"/>
            <w:vAlign w:val="center"/>
            <w:hideMark/>
          </w:tcPr>
          <w:p w:rsidR="00A043E5" w:rsidRPr="00906EA7" w:rsidRDefault="00A043E5"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в т. ч. население</w:t>
            </w:r>
          </w:p>
        </w:tc>
        <w:tc>
          <w:tcPr>
            <w:tcW w:w="669" w:type="pct"/>
            <w:vAlign w:val="center"/>
            <w:hideMark/>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906EA7">
              <w:rPr>
                <w:rFonts w:ascii="Times New Roman" w:eastAsia="Calibri Light" w:hAnsi="Times New Roman" w:cs="Times New Roman"/>
                <w:sz w:val="20"/>
                <w:szCs w:val="20"/>
                <w:lang w:eastAsia="ru-RU"/>
              </w:rPr>
              <w:t>тыс. куб. м</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2553,90</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2501,21</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2307,89</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92,3</w:t>
            </w:r>
          </w:p>
        </w:tc>
      </w:tr>
    </w:tbl>
    <w:p w:rsidR="00141482" w:rsidRPr="00906EA7" w:rsidRDefault="00141482" w:rsidP="0097253F">
      <w:pPr>
        <w:widowControl w:val="0"/>
        <w:adjustRightInd w:val="0"/>
        <w:spacing w:after="0" w:line="240" w:lineRule="auto"/>
        <w:ind w:firstLine="709"/>
        <w:jc w:val="both"/>
        <w:rPr>
          <w:rFonts w:ascii="Times New Roman" w:eastAsia="Calibri Light" w:hAnsi="Times New Roman" w:cs="Times New Roman"/>
          <w:sz w:val="24"/>
          <w:szCs w:val="24"/>
        </w:rPr>
      </w:pPr>
    </w:p>
    <w:p w:rsidR="00A043E5" w:rsidRPr="00906EA7" w:rsidRDefault="00A043E5" w:rsidP="0097253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Calibri Light" w:hAnsi="Times New Roman" w:cs="Times New Roman"/>
          <w:sz w:val="24"/>
          <w:szCs w:val="24"/>
        </w:rPr>
        <w:t xml:space="preserve">Производственные показатели по водоснабжению свидетельствуют о снижении объемов поднятой воды в сравнении с предыдущим периодом на 219,9 </w:t>
      </w:r>
      <w:r w:rsidRPr="00906EA7">
        <w:rPr>
          <w:rFonts w:ascii="Times New Roman" w:eastAsia="Times New Roman" w:hAnsi="Times New Roman" w:cs="Times New Roman"/>
          <w:sz w:val="24"/>
          <w:szCs w:val="24"/>
          <w:lang w:eastAsia="ru-RU"/>
        </w:rPr>
        <w:t>тыс. куб. м или 7,2%.</w:t>
      </w:r>
    </w:p>
    <w:p w:rsidR="00A043E5" w:rsidRPr="00906EA7" w:rsidRDefault="00A043E5"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целях повышения энергетической эффективности на объектах водоснабжения в </w:t>
      </w:r>
      <w:r w:rsidRPr="00906EA7">
        <w:rPr>
          <w:rFonts w:ascii="Times New Roman" w:eastAsia="Calibri Light" w:hAnsi="Times New Roman" w:cs="Times New Roman"/>
          <w:sz w:val="24"/>
          <w:szCs w:val="24"/>
        </w:rPr>
        <w:lastRenderedPageBreak/>
        <w:t>2019 году выполнен капитальный ремонт артезианских скважин на Водозаборе №1 в городе Мегионе с заменой насосных агрегатов, а также ремонт запорной арматуры и другого технологического оборудования на фильтровальной станции в Мегионе и поселке городского типа Высокий.</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A043E5" w:rsidRPr="00906EA7" w:rsidRDefault="00A043E5" w:rsidP="0097253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сбор и транспортировка сточных вод;</w:t>
      </w:r>
    </w:p>
    <w:p w:rsidR="00A043E5" w:rsidRPr="00906EA7" w:rsidRDefault="00A043E5" w:rsidP="0097253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очистка поступивших сточных вод на очистных сооружениях. </w:t>
      </w:r>
    </w:p>
    <w:p w:rsidR="00A043E5" w:rsidRPr="00906EA7" w:rsidRDefault="00A043E5" w:rsidP="0097253F">
      <w:pPr>
        <w:pStyle w:val="af2"/>
        <w:keepNext/>
        <w:widowControl w:val="0"/>
        <w:ind w:firstLine="709"/>
        <w:jc w:val="both"/>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На территории городского округа расположено 18 канализационных насосных станций (КНС), с установленной проектной мощностью – 42,3 тыс. куб. м/сут. Проектная мощность канализационно-очистных сооружений (КОС) составляет 17,7 тыс. куб. м/сут. Общая протяженность канализационных сетей составляет </w:t>
      </w:r>
      <w:r w:rsidRPr="00906EA7">
        <w:rPr>
          <w:rFonts w:ascii="Times New Roman" w:eastAsia="Times New Roman" w:hAnsi="Times New Roman"/>
          <w:bCs/>
          <w:sz w:val="24"/>
          <w:szCs w:val="24"/>
          <w:lang w:eastAsia="ru-RU"/>
        </w:rPr>
        <w:t xml:space="preserve">129,2 </w:t>
      </w:r>
      <w:r w:rsidRPr="00906EA7">
        <w:rPr>
          <w:rFonts w:ascii="Times New Roman" w:eastAsia="Times New Roman" w:hAnsi="Times New Roman"/>
          <w:sz w:val="24"/>
          <w:szCs w:val="24"/>
          <w:lang w:eastAsia="ru-RU"/>
        </w:rPr>
        <w:t xml:space="preserve">км, </w:t>
      </w:r>
      <w:r w:rsidRPr="00906EA7">
        <w:rPr>
          <w:rFonts w:ascii="Times New Roman" w:hAnsi="Times New Roman"/>
          <w:sz w:val="24"/>
          <w:szCs w:val="24"/>
        </w:rPr>
        <w:t xml:space="preserve">из них ветхих 6,46 км, износ – 86,5%. </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A043E5" w:rsidRPr="00906EA7" w:rsidRDefault="00A043E5"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пгт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вод осуществляется двумя канализационными очистными сооружениями: КОС «Центральная», в северной части, и КОС-151, в южной части населенного пункта.</w:t>
      </w:r>
    </w:p>
    <w:p w:rsidR="00A043E5" w:rsidRPr="00906EA7" w:rsidRDefault="00A043E5" w:rsidP="0097253F">
      <w:pPr>
        <w:widowControl w:val="0"/>
        <w:spacing w:after="0" w:line="240" w:lineRule="auto"/>
        <w:ind w:firstLine="709"/>
        <w:jc w:val="both"/>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О</w:t>
      </w:r>
      <w:r w:rsidRPr="00906EA7">
        <w:rPr>
          <w:rFonts w:ascii="Times New Roman" w:eastAsia="Calibri Light" w:hAnsi="Times New Roman" w:cs="Times New Roman"/>
          <w:sz w:val="24"/>
          <w:szCs w:val="24"/>
        </w:rPr>
        <w:t xml:space="preserve">бъем приема сточных вод составил </w:t>
      </w:r>
      <w:r w:rsidRPr="00906EA7">
        <w:rPr>
          <w:rFonts w:ascii="Times New Roman" w:eastAsia="Times New Roman" w:hAnsi="Times New Roman" w:cs="Times New Roman"/>
          <w:sz w:val="24"/>
          <w:szCs w:val="24"/>
          <w:lang w:eastAsia="ru-RU"/>
        </w:rPr>
        <w:t xml:space="preserve">2 535,7 </w:t>
      </w:r>
      <w:r w:rsidRPr="00906EA7">
        <w:rPr>
          <w:rFonts w:ascii="Times New Roman" w:eastAsia="Calibri Light" w:hAnsi="Times New Roman" w:cs="Times New Roman"/>
          <w:sz w:val="24"/>
          <w:szCs w:val="24"/>
          <w:lang w:eastAsia="ru-RU"/>
        </w:rPr>
        <w:t>тыс. куб. м, о</w:t>
      </w:r>
      <w:r w:rsidRPr="00906EA7">
        <w:rPr>
          <w:rFonts w:ascii="Times New Roman" w:eastAsia="Times New Roman" w:hAnsi="Times New Roman" w:cs="Times New Roman"/>
          <w:sz w:val="24"/>
          <w:szCs w:val="24"/>
          <w:lang w:eastAsia="ru-RU"/>
        </w:rPr>
        <w:t>сновным потребителем услуг водоотведения является население – 77,7%; бюджетные организации, прочие потребители – 22,3%.</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При этом, доля объема сточных вод от неучтенных потребителей составляет 17% от принятой на КОС. Расход воды на собственные нужды составляет 1% от объема принятой на КОС сточной воды.</w:t>
      </w:r>
    </w:p>
    <w:p w:rsidR="004D7A86" w:rsidRPr="00906EA7" w:rsidRDefault="004D7A86" w:rsidP="009725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Основные производственные показатели водоотведения</w:t>
      </w:r>
    </w:p>
    <w:p w:rsidR="004D7A86" w:rsidRPr="00906EA7" w:rsidRDefault="004D7A86"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6" w:type="pct"/>
        <w:tblInd w:w="108" w:type="dxa"/>
        <w:tblLayout w:type="fixed"/>
        <w:tblLook w:val="04A0" w:firstRow="1" w:lastRow="0" w:firstColumn="1" w:lastColumn="0" w:noHBand="0" w:noVBand="1"/>
      </w:tblPr>
      <w:tblGrid>
        <w:gridCol w:w="3119"/>
        <w:gridCol w:w="1302"/>
        <w:gridCol w:w="1302"/>
        <w:gridCol w:w="1302"/>
        <w:gridCol w:w="1302"/>
        <w:gridCol w:w="1302"/>
      </w:tblGrid>
      <w:tr w:rsidR="001A028F" w:rsidRPr="00906EA7" w:rsidTr="001617D8">
        <w:trPr>
          <w:trHeight w:val="69"/>
          <w:tblHeader/>
        </w:trPr>
        <w:tc>
          <w:tcPr>
            <w:tcW w:w="1620" w:type="pct"/>
            <w:tcBorders>
              <w:top w:val="single" w:sz="4" w:space="0" w:color="auto"/>
              <w:left w:val="single" w:sz="4" w:space="0" w:color="auto"/>
              <w:bottom w:val="single" w:sz="4" w:space="0" w:color="auto"/>
              <w:right w:val="single" w:sz="4" w:space="0" w:color="auto"/>
            </w:tcBorders>
            <w:vAlign w:val="center"/>
            <w:hideMark/>
          </w:tcPr>
          <w:p w:rsidR="001A028F" w:rsidRPr="00906EA7" w:rsidRDefault="001A028F" w:rsidP="0097253F">
            <w:pPr>
              <w:widowControl w:val="0"/>
              <w:spacing w:after="0" w:line="240" w:lineRule="auto"/>
              <w:ind w:left="-7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676" w:type="pct"/>
            <w:tcBorders>
              <w:top w:val="single" w:sz="4" w:space="0" w:color="auto"/>
              <w:left w:val="single" w:sz="4" w:space="0" w:color="auto"/>
              <w:bottom w:val="single" w:sz="4" w:space="0" w:color="auto"/>
              <w:right w:val="single" w:sz="4" w:space="0" w:color="auto"/>
            </w:tcBorders>
            <w:vAlign w:val="center"/>
            <w:hideMark/>
          </w:tcPr>
          <w:p w:rsidR="001A028F" w:rsidRPr="00906EA7" w:rsidRDefault="001A028F" w:rsidP="0097253F">
            <w:pPr>
              <w:widowControl w:val="0"/>
              <w:spacing w:after="0" w:line="240" w:lineRule="auto"/>
              <w:ind w:left="-7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ед. изм.</w:t>
            </w:r>
          </w:p>
        </w:tc>
        <w:tc>
          <w:tcPr>
            <w:tcW w:w="676" w:type="pct"/>
            <w:tcBorders>
              <w:top w:val="single" w:sz="4" w:space="0" w:color="auto"/>
              <w:left w:val="nil"/>
              <w:bottom w:val="single" w:sz="4" w:space="0" w:color="auto"/>
              <w:right w:val="single" w:sz="4" w:space="0" w:color="auto"/>
            </w:tcBorders>
            <w:vAlign w:val="center"/>
          </w:tcPr>
          <w:p w:rsidR="001A028F" w:rsidRPr="00906EA7" w:rsidRDefault="001A028F"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Calibri Light" w:hAnsi="Times New Roman" w:cs="Times New Roman"/>
                <w:sz w:val="20"/>
                <w:szCs w:val="20"/>
              </w:rPr>
              <w:t>2017 год</w:t>
            </w:r>
          </w:p>
        </w:tc>
        <w:tc>
          <w:tcPr>
            <w:tcW w:w="676" w:type="pct"/>
            <w:tcBorders>
              <w:top w:val="single" w:sz="4" w:space="0" w:color="auto"/>
              <w:left w:val="nil"/>
              <w:bottom w:val="single" w:sz="4" w:space="0" w:color="auto"/>
              <w:right w:val="single" w:sz="4" w:space="0" w:color="auto"/>
            </w:tcBorders>
            <w:vAlign w:val="center"/>
          </w:tcPr>
          <w:p w:rsidR="001A028F" w:rsidRPr="00906EA7" w:rsidRDefault="001A028F"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676" w:type="pct"/>
            <w:tcBorders>
              <w:top w:val="single" w:sz="4" w:space="0" w:color="auto"/>
              <w:left w:val="nil"/>
              <w:bottom w:val="single" w:sz="4" w:space="0" w:color="auto"/>
              <w:right w:val="single" w:sz="4" w:space="0" w:color="auto"/>
            </w:tcBorders>
            <w:vAlign w:val="center"/>
          </w:tcPr>
          <w:p w:rsidR="001A028F" w:rsidRPr="00906EA7" w:rsidRDefault="001A028F"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A028F" w:rsidRPr="00906EA7" w:rsidRDefault="001A028F" w:rsidP="0097253F">
            <w:pPr>
              <w:widowControl w:val="0"/>
              <w:spacing w:after="0" w:line="240" w:lineRule="auto"/>
              <w:ind w:left="-13"/>
              <w:jc w:val="center"/>
              <w:rPr>
                <w:rFonts w:ascii="Times New Roman" w:eastAsia="Times New Roman" w:hAnsi="Times New Roman" w:cs="Times New Roman"/>
                <w:sz w:val="20"/>
                <w:szCs w:val="20"/>
                <w:lang w:eastAsia="ru-RU"/>
              </w:rPr>
            </w:pPr>
            <w:r w:rsidRPr="00906EA7">
              <w:rPr>
                <w:rFonts w:ascii="Times New Roman" w:eastAsia="Calibri Light" w:hAnsi="Times New Roman" w:cs="Times New Roman"/>
                <w:sz w:val="20"/>
                <w:szCs w:val="20"/>
              </w:rPr>
              <w:t>Темп роста (снижения) %</w:t>
            </w:r>
          </w:p>
        </w:tc>
      </w:tr>
      <w:tr w:rsidR="001A028F" w:rsidRPr="00906EA7" w:rsidTr="001617D8">
        <w:trPr>
          <w:trHeight w:val="69"/>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28F" w:rsidRPr="00906EA7" w:rsidRDefault="001A028F" w:rsidP="0097253F">
            <w:pPr>
              <w:widowControl w:val="0"/>
              <w:spacing w:after="0" w:line="240" w:lineRule="auto"/>
              <w:ind w:left="-7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реализации всего</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28F" w:rsidRPr="00906EA7" w:rsidRDefault="001A028F" w:rsidP="0097253F">
            <w:pPr>
              <w:widowControl w:val="0"/>
              <w:spacing w:after="0" w:line="240" w:lineRule="auto"/>
              <w:ind w:left="-7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тыс. куб. м</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2762,9</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2708,6</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2535,7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93,6</w:t>
            </w:r>
          </w:p>
        </w:tc>
      </w:tr>
      <w:tr w:rsidR="001A028F" w:rsidRPr="00906EA7" w:rsidTr="001617D8">
        <w:trPr>
          <w:trHeight w:val="69"/>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28F" w:rsidRPr="00906EA7" w:rsidRDefault="001A028F" w:rsidP="0097253F">
            <w:pPr>
              <w:widowControl w:val="0"/>
              <w:spacing w:after="0" w:line="240" w:lineRule="auto"/>
              <w:ind w:left="-7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т. ч. население</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28F" w:rsidRPr="00906EA7" w:rsidRDefault="001A028F" w:rsidP="0097253F">
            <w:pPr>
              <w:widowControl w:val="0"/>
              <w:spacing w:after="0" w:line="240" w:lineRule="auto"/>
              <w:ind w:left="-7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тыс. куб. м</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2247,1</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2 114,6</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1970,4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93,2</w:t>
            </w:r>
          </w:p>
        </w:tc>
      </w:tr>
    </w:tbl>
    <w:p w:rsidR="004D7A86" w:rsidRPr="00906EA7" w:rsidRDefault="004D7A86"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1A028F" w:rsidRPr="00906EA7" w:rsidRDefault="001A028F" w:rsidP="0097253F">
      <w:pPr>
        <w:widowControl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Объем приема сточных вод уменьшился на 172,9 тыс. куб. м или 6,4%.</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2019 году проведены следующие мероприятия:</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выполнен ремонт канализационных колодцев в городе;</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rsidR="001A028F" w:rsidRPr="00906EA7" w:rsidRDefault="001A028F" w:rsidP="0097253F">
      <w:pPr>
        <w:tabs>
          <w:tab w:val="left" w:pos="993"/>
          <w:tab w:val="left" w:pos="1134"/>
        </w:tabs>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Объем </w:t>
      </w:r>
      <w:r w:rsidRPr="00906EA7">
        <w:rPr>
          <w:rFonts w:ascii="Times New Roman" w:eastAsia="Calibri Light" w:hAnsi="Times New Roman" w:cs="Times New Roman"/>
          <w:sz w:val="24"/>
          <w:szCs w:val="24"/>
        </w:rPr>
        <w:t xml:space="preserve">откаченных и вывезенных жидких бытовых отходов из неблагоустроенного </w:t>
      </w:r>
      <w:r w:rsidRPr="00906EA7">
        <w:rPr>
          <w:rFonts w:ascii="Times New Roman" w:hAnsi="Times New Roman" w:cs="Times New Roman"/>
          <w:sz w:val="24"/>
          <w:szCs w:val="24"/>
        </w:rPr>
        <w:t xml:space="preserve">жилищного фонда городского округа составил 81 862,1 куб. м. </w:t>
      </w:r>
      <w:r w:rsidRPr="00906EA7">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w:t>
      </w:r>
      <w:r w:rsidRPr="00906EA7">
        <w:rPr>
          <w:rFonts w:ascii="Times New Roman" w:hAnsi="Times New Roman" w:cs="Times New Roman"/>
          <w:sz w:val="24"/>
          <w:szCs w:val="24"/>
        </w:rPr>
        <w:t xml:space="preserve">с целью возмещения недополученных доходов организации, предоставляющей населению городского округа услуги по откачке и вывозу жидких бытовых отходов из неблагоустроенного жилищного фонда по тарифам, не обеспечивающим возмещение издержек, администрацией города </w:t>
      </w:r>
      <w:r w:rsidRPr="00906EA7">
        <w:rPr>
          <w:rFonts w:ascii="Times New Roman" w:hAnsi="Times New Roman" w:cs="Times New Roman"/>
          <w:sz w:val="24"/>
          <w:szCs w:val="24"/>
        </w:rPr>
        <w:lastRenderedPageBreak/>
        <w:t>открытому акционерному обществу «Жилищно-коммунальное управление» предоставляется субсидия. В 2019 году на данные цели профинансировано 6 727,3 тыс. руб.</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Общая протяженность сетей газоснабжения в городском округе составляет 21,5 км, данные сети находятся на обслуживании в муниципальном унитарном предприятии «Тепловодоканал». </w:t>
      </w:r>
    </w:p>
    <w:p w:rsidR="001A028F" w:rsidRPr="00906EA7" w:rsidRDefault="001A028F" w:rsidP="0097253F">
      <w:pPr>
        <w:tabs>
          <w:tab w:val="left" w:pos="993"/>
          <w:tab w:val="left" w:pos="1134"/>
        </w:tabs>
        <w:spacing w:after="0" w:line="240" w:lineRule="auto"/>
        <w:ind w:firstLine="709"/>
        <w:jc w:val="both"/>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 xml:space="preserve">Объем реализованного сжиженного газа населению городского округа составил 5 379 кг. </w:t>
      </w:r>
      <w:r w:rsidRPr="00906EA7">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с</w:t>
      </w:r>
      <w:r w:rsidRPr="00906EA7">
        <w:rPr>
          <w:rFonts w:ascii="Times New Roman" w:eastAsia="Times New Roman" w:hAnsi="Times New Roman" w:cs="Times New Roman"/>
          <w:sz w:val="24"/>
          <w:szCs w:val="24"/>
          <w:lang w:eastAsia="ru-RU"/>
        </w:rPr>
        <w:t xml:space="preserve"> целью возмещения недополученных доходов организации, осуществляющей реализацию населения сжиженного газа по социально ориентированным розничным ценам,</w:t>
      </w:r>
      <w:r w:rsidRPr="00906EA7">
        <w:rPr>
          <w:rFonts w:ascii="Times New Roman" w:hAnsi="Times New Roman" w:cs="Times New Roman"/>
          <w:sz w:val="24"/>
          <w:szCs w:val="24"/>
        </w:rPr>
        <w:t xml:space="preserve"> администрацией города предоставляется субсидия акционерному обществу «Мегионгазсервис». В 2019 году на данные цели профинансировано 4 250,7 тыс. руб.</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lang w:eastAsia="ru-RU"/>
        </w:rPr>
        <w:t>Общая протяженность электрических сетей в городском округе составляет 381,8 км, количество трансформаторных подстанций – 172 ед. 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p>
    <w:p w:rsidR="001A028F" w:rsidRPr="00906EA7" w:rsidRDefault="001A028F" w:rsidP="0097253F">
      <w:pPr>
        <w:pStyle w:val="af0"/>
        <w:keepNext/>
        <w:widowControl w:val="0"/>
        <w:tabs>
          <w:tab w:val="left" w:pos="993"/>
        </w:tabs>
        <w:spacing w:after="0" w:line="240" w:lineRule="auto"/>
        <w:ind w:left="0" w:firstLine="709"/>
        <w:jc w:val="both"/>
        <w:rPr>
          <w:rFonts w:ascii="Times New Roman" w:hAnsi="Times New Roman"/>
          <w:sz w:val="24"/>
          <w:szCs w:val="24"/>
        </w:rPr>
      </w:pPr>
      <w:r w:rsidRPr="00906EA7">
        <w:rPr>
          <w:rFonts w:ascii="Times New Roman" w:hAnsi="Times New Roman"/>
          <w:sz w:val="24"/>
          <w:szCs w:val="24"/>
          <w:lang w:eastAsia="en-US"/>
        </w:rPr>
        <w:t>В</w:t>
      </w:r>
      <w:r w:rsidRPr="00906EA7">
        <w:rPr>
          <w:rFonts w:ascii="Times New Roman" w:hAnsi="Times New Roman"/>
          <w:sz w:val="24"/>
          <w:szCs w:val="24"/>
        </w:rPr>
        <w:t xml:space="preserve"> рамках Инвестиционной программы на 2019 год по городскому округу город Мегион:</w:t>
      </w:r>
    </w:p>
    <w:p w:rsidR="001A028F" w:rsidRPr="00906EA7" w:rsidRDefault="001A028F" w:rsidP="0097253F">
      <w:pPr>
        <w:pStyle w:val="af0"/>
        <w:keepNext/>
        <w:widowControl w:val="0"/>
        <w:tabs>
          <w:tab w:val="left" w:pos="993"/>
        </w:tabs>
        <w:spacing w:after="0" w:line="240" w:lineRule="auto"/>
        <w:ind w:left="0" w:firstLine="709"/>
        <w:jc w:val="both"/>
        <w:rPr>
          <w:rFonts w:ascii="Times New Roman" w:hAnsi="Times New Roman"/>
          <w:sz w:val="24"/>
          <w:szCs w:val="24"/>
        </w:rPr>
      </w:pPr>
      <w:r w:rsidRPr="00906EA7">
        <w:rPr>
          <w:rFonts w:ascii="Times New Roman" w:hAnsi="Times New Roman"/>
          <w:sz w:val="24"/>
          <w:szCs w:val="24"/>
        </w:rPr>
        <w:t>по направлению «Техническое перевооружение и реконструкция» выполнены работы по реконструкции трансформаторной подстанции, распределительного пункта котельного хозяйства города Мегион (проектной мощностью 2,52 МВА) на сумму 13,15 млн руб.;</w:t>
      </w:r>
    </w:p>
    <w:p w:rsidR="001A028F" w:rsidRPr="00906EA7" w:rsidRDefault="001A028F"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направлению «Новое строительство» з</w:t>
      </w:r>
      <w:r w:rsidRPr="00906EA7">
        <w:rPr>
          <w:rFonts w:ascii="Times New Roman" w:eastAsia="Times New Roman" w:hAnsi="Times New Roman" w:cs="Times New Roman"/>
          <w:sz w:val="24"/>
          <w:szCs w:val="24"/>
          <w:lang w:eastAsia="ru-RU"/>
        </w:rPr>
        <w:t xml:space="preserve">авершены работы по объектам «Сети электроснабжения 0,4 кВ многофункционального центра, расположенного по адресу: город Мегион проспект Победы, д. №7» (0,2 км), </w:t>
      </w:r>
      <w:r w:rsidRPr="00906EA7">
        <w:rPr>
          <w:rFonts w:ascii="Times New Roman" w:hAnsi="Times New Roman" w:cs="Times New Roman"/>
          <w:sz w:val="24"/>
          <w:szCs w:val="24"/>
        </w:rPr>
        <w:t>«ТП 6/0,4 кВ с кабельными линиями XII микрорайоне города Мегиона» (2,92 км, проектная мощность 3,78 МВА), «Электроснабжение школы на 300 учащихся в п.Высокий город Мегион» (мощность БКТП 1,26 МВА, ВЛЗ – 0,534 км, КЛ-10 кВ – 0,717 км, КЛ-0,4 кВ – 2,451 км) на сумму 30,29 млн руб.</w:t>
      </w:r>
    </w:p>
    <w:p w:rsidR="001A028F" w:rsidRPr="00906EA7" w:rsidRDefault="001A028F"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w:t>
      </w:r>
      <w:r w:rsidRPr="00906EA7">
        <w:rPr>
          <w:rFonts w:ascii="Times New Roman" w:eastAsia="Times New Roman" w:hAnsi="Times New Roman" w:cs="Times New Roman"/>
          <w:sz w:val="24"/>
          <w:szCs w:val="24"/>
        </w:rPr>
        <w:t xml:space="preserve">в рамках реализации мероприятий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соответствии с </w:t>
      </w:r>
      <w:r w:rsidRPr="00906EA7">
        <w:rPr>
          <w:rFonts w:ascii="Times New Roman" w:eastAsia="Calibri Light" w:hAnsi="Times New Roman" w:cs="Times New Roman"/>
          <w:sz w:val="24"/>
          <w:szCs w:val="24"/>
        </w:rPr>
        <w:t>заключенным в 2019 году муниципальным контрактом на сумму 15 930,0 тыс. руб. выполнялись работы по техническому обслуживанию и текущему ремонту сетей уличного освещения городского округа: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В рамках заключенных договоров энергоснабжения акционерного общества «Газпром Энергосбыт Тюмень» оказаны услуги по передаче электрической энергии на уличное освещение городского округа, объем потребленной электрической энергии сетями уличного освещения в 2019 году составил 2 351 076 кВт/ч, на данные цели из местного бюджета профинансировано 14 081 тыс. руб.</w:t>
      </w:r>
    </w:p>
    <w:p w:rsidR="001A028F" w:rsidRPr="00906EA7" w:rsidRDefault="001A028F"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настоящее время проводится работа для возможности реализации положительной практики по проекту «Магазин верных решений «Модернизация уличного освещения на основе энергосервисного контракта». Для этих целей выполнены мероприятия по обследованию сетей уличного освещения города и поселка городского типа Высокий, проведена работа с потенциальными инвесторами по вопросу модернизации уличного освещения, предусматривающей замену светильников с лампами ДРЛ, ДНаТ, МЛГ, ЛОН на энергосберегающие светодиодные светильники. </w:t>
      </w:r>
    </w:p>
    <w:p w:rsidR="001A028F" w:rsidRPr="00906EA7" w:rsidRDefault="001A028F"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целях реализации на территории городского округа долгосрочного муниципального энергосервисного контракта на выполнение мероприятий по энергосбережению и </w:t>
      </w:r>
      <w:r w:rsidRPr="00906EA7">
        <w:rPr>
          <w:rFonts w:ascii="Times New Roman" w:eastAsia="Calibri Light" w:hAnsi="Times New Roman" w:cs="Times New Roman"/>
          <w:sz w:val="24"/>
          <w:szCs w:val="24"/>
        </w:rPr>
        <w:lastRenderedPageBreak/>
        <w:t>повышению энергетической эффективности использования электрической энергии при эксплуатации объектов уличного освещения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в 2019 году проводилась работа, результатом которой станет заключение энергосервисного контракта в 2020 году.</w:t>
      </w:r>
    </w:p>
    <w:p w:rsidR="001A028F" w:rsidRPr="00906EA7" w:rsidRDefault="001A028F" w:rsidP="0097253F">
      <w:pPr>
        <w:pStyle w:val="TableParagraph"/>
        <w:ind w:firstLine="709"/>
        <w:jc w:val="both"/>
        <w:rPr>
          <w:rFonts w:eastAsia="Calibri Light"/>
          <w:sz w:val="24"/>
          <w:szCs w:val="24"/>
          <w:lang w:eastAsia="en-US" w:bidi="ar-SA"/>
        </w:rPr>
      </w:pPr>
      <w:r w:rsidRPr="00906EA7">
        <w:rPr>
          <w:rFonts w:eastAsia="Calibri Light"/>
          <w:sz w:val="24"/>
          <w:szCs w:val="24"/>
          <w:lang w:eastAsia="en-US" w:bidi="ar-SA"/>
        </w:rPr>
        <w:t xml:space="preserve">Начальная (максимальная) цена долгосрочного муниципального энергосервисного контракта составляет 95 007,3 тыс. руб., включая НДС 20%. </w:t>
      </w:r>
    </w:p>
    <w:p w:rsidR="005D5C16" w:rsidRPr="00906EA7" w:rsidRDefault="001A028F" w:rsidP="005D5C16">
      <w:pPr>
        <w:pStyle w:val="TableParagraph"/>
        <w:tabs>
          <w:tab w:val="left" w:pos="3191"/>
          <w:tab w:val="left" w:pos="6645"/>
        </w:tabs>
        <w:ind w:firstLine="709"/>
        <w:jc w:val="both"/>
        <w:rPr>
          <w:rFonts w:eastAsia="Calibri"/>
          <w:sz w:val="24"/>
          <w:szCs w:val="24"/>
          <w:lang w:eastAsia="en-US" w:bidi="ar-SA"/>
        </w:rPr>
      </w:pPr>
      <w:r w:rsidRPr="00906EA7">
        <w:rPr>
          <w:sz w:val="24"/>
          <w:szCs w:val="24"/>
        </w:rPr>
        <w:t>При выполнении предусмотренных мероприятий планируется</w:t>
      </w:r>
      <w:r w:rsidRPr="00906EA7">
        <w:rPr>
          <w:rFonts w:eastAsia="Calibri"/>
          <w:sz w:val="24"/>
          <w:szCs w:val="24"/>
          <w:lang w:eastAsia="en-US" w:bidi="ar-SA"/>
        </w:rPr>
        <w:t xml:space="preserve"> снижение потребления электрической энергии при эксплуатации объектов уличного освещения не менее чем на 40% от уровня фактического объема потребления энергетического ресурса за 2018 год (показателя энергетического базиса) в рамках перехода в полном объеме на использование энергосберегающих светодиодных светильников.</w:t>
      </w:r>
    </w:p>
    <w:p w:rsidR="005D5C16" w:rsidRPr="00906EA7" w:rsidRDefault="001A028F" w:rsidP="005D5C16">
      <w:pPr>
        <w:pStyle w:val="TableParagraph"/>
        <w:tabs>
          <w:tab w:val="left" w:pos="3191"/>
          <w:tab w:val="left" w:pos="6645"/>
        </w:tabs>
        <w:ind w:firstLine="709"/>
        <w:jc w:val="both"/>
        <w:rPr>
          <w:sz w:val="24"/>
          <w:szCs w:val="24"/>
        </w:rPr>
      </w:pPr>
      <w:r w:rsidRPr="00906EA7">
        <w:rPr>
          <w:sz w:val="24"/>
          <w:szCs w:val="24"/>
        </w:rPr>
        <w:t xml:space="preserve">На сегодняшний день для жилищно-коммунального комплекса городского округа остро стоит проблема значительного износа объектов 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к увеличению эксплуатационных затрат при выработке ресурсов, увеличению их потерь.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организациям коммунальной сферы масштабные ремонтные кампании. Для модернизации объектов коммунальной инфраструктуры требуются миллиардные вложения, которые являются неподъемными для бюджета города. </w:t>
      </w:r>
    </w:p>
    <w:p w:rsidR="005D5C16" w:rsidRPr="00906EA7" w:rsidRDefault="001A028F" w:rsidP="005D5C16">
      <w:pPr>
        <w:pStyle w:val="TableParagraph"/>
        <w:tabs>
          <w:tab w:val="left" w:pos="3191"/>
          <w:tab w:val="left" w:pos="6645"/>
        </w:tabs>
        <w:ind w:firstLine="709"/>
        <w:jc w:val="both"/>
        <w:rPr>
          <w:sz w:val="24"/>
          <w:szCs w:val="24"/>
        </w:rPr>
      </w:pPr>
      <w:r w:rsidRPr="00906EA7">
        <w:rPr>
          <w:sz w:val="24"/>
          <w:szCs w:val="24"/>
        </w:rPr>
        <w:t>Для решения указанной проблемы было принято решение о проведении данных мероприятий путем привлечения частных инвестиций в рамках заключения концессионного соглашения, реализация которого позволит привлечь в коммунальную инфраструктуру городского округа порядка 1,4 млрд. руб.. Их возврат будет осуществляться в основной массе за счет средств тарифов на коммунальные услуги.</w:t>
      </w:r>
    </w:p>
    <w:p w:rsidR="005D5C16" w:rsidRPr="00906EA7" w:rsidRDefault="001A028F" w:rsidP="005D5C16">
      <w:pPr>
        <w:pStyle w:val="TableParagraph"/>
        <w:tabs>
          <w:tab w:val="left" w:pos="3191"/>
          <w:tab w:val="left" w:pos="6645"/>
        </w:tabs>
        <w:ind w:firstLine="709"/>
        <w:jc w:val="both"/>
        <w:rPr>
          <w:sz w:val="24"/>
          <w:szCs w:val="24"/>
        </w:rPr>
      </w:pPr>
      <w:r w:rsidRPr="00906EA7">
        <w:rPr>
          <w:rFonts w:eastAsia="Calibri Light"/>
          <w:sz w:val="24"/>
          <w:szCs w:val="24"/>
        </w:rPr>
        <w:t>В 2019 году продолжалась работа для возможности заключения концессионного соглашения в отношении объектов теплоснабжения, централизованных систем горячего и холодного водоснабжения и водоотведения, отдельных объектов таких систем городского округа</w:t>
      </w:r>
      <w:r w:rsidRPr="00906EA7">
        <w:rPr>
          <w:sz w:val="24"/>
          <w:szCs w:val="24"/>
        </w:rPr>
        <w:t xml:space="preserve">, при его реализации будут выполнены строительство, реконструкция, модернизация, техническое перевооружение объектов теплоснабжения, водоснабжения и водоотведения; обеспечено: комплексное развитие сетей, источников тепло-, водоснабжения, а также систем водоочистки и очистки сточных вод; создание устойчивых организационных и финансовых механизмов для обеспечения эффективного функционирования организации теплоснабжения, водоснабжения и водоотведения; повышение надежности работы инженерно-технических сетей теплоснабжения, водоснабжения и водоотведения, улучшение качества оказываемых потребителям коммунальных услуг. </w:t>
      </w:r>
    </w:p>
    <w:p w:rsidR="001A028F" w:rsidRPr="00906EA7" w:rsidRDefault="001A028F" w:rsidP="005D5C16">
      <w:pPr>
        <w:pStyle w:val="TableParagraph"/>
        <w:tabs>
          <w:tab w:val="left" w:pos="3191"/>
          <w:tab w:val="left" w:pos="6645"/>
        </w:tabs>
        <w:ind w:firstLine="709"/>
        <w:jc w:val="both"/>
        <w:rPr>
          <w:rFonts w:eastAsia="Calibri Light"/>
          <w:sz w:val="24"/>
          <w:szCs w:val="24"/>
          <w:lang w:eastAsia="en-US"/>
        </w:rPr>
      </w:pPr>
      <w:r w:rsidRPr="00906EA7">
        <w:rPr>
          <w:sz w:val="24"/>
          <w:szCs w:val="24"/>
        </w:rPr>
        <w:t>Для этого предварительно проводилась работа с потенциальным инвестором, определен перечень объектов для передачи в концессию, проведено их техническое обследование с составлением актов, осуществлена актуализация схемы теплоснабжения, проведена актуализация схемы водоснабжения и водоотведения</w:t>
      </w:r>
      <w:r w:rsidRPr="00906EA7">
        <w:rPr>
          <w:rFonts w:eastAsia="Calibri Light"/>
          <w:sz w:val="24"/>
          <w:szCs w:val="24"/>
          <w:lang w:eastAsia="en-US"/>
        </w:rPr>
        <w:t>.</w:t>
      </w:r>
    </w:p>
    <w:p w:rsidR="001A028F" w:rsidRPr="00906EA7" w:rsidRDefault="001A028F"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Потенциальным инвестором осуществлялась подготовка усредненных сметных расчетов в части обоснования включения капитальных затрат по концессионному соглашению в расчет нормативной валовой выручки при расчете тарифов в рамках инвестиционных программ концессионера, произведена корректировка финансово-экономической модели, сверка протяженности инженерных сетей, подготовка проектов инвестиционных программ в сфере теплоснабжения, в сфере холодного, горячего водоснабжения и водоотведения. Осуществлялось согласование иных условий концессионного соглашения. </w:t>
      </w:r>
    </w:p>
    <w:p w:rsidR="001A028F" w:rsidRPr="00906EA7" w:rsidRDefault="001A028F"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С учетом регламентных сроков проведения установленной процедуры по заключению концессионных соглашений, заключение концессионного соглашения в отношении объектов </w:t>
      </w:r>
      <w:r w:rsidRPr="00906EA7">
        <w:rPr>
          <w:rFonts w:ascii="Times New Roman" w:eastAsia="Calibri Light" w:hAnsi="Times New Roman" w:cs="Times New Roman"/>
          <w:sz w:val="24"/>
          <w:szCs w:val="24"/>
        </w:rPr>
        <w:lastRenderedPageBreak/>
        <w:t>теплоснабжения, централизованных систем горячего водоснабжения, холодного водоснабжения и водоотведения, отдельных объектов таких систем, находящихся в собственности муниципального образования, планируется в январе 2021 года.</w:t>
      </w:r>
    </w:p>
    <w:p w:rsidR="001A028F" w:rsidRPr="00906EA7" w:rsidRDefault="001A028F"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Помимо коммунального комплекса существуют проблемы и в жилищном фонде. Имеются многоквартирные деревянные дома, которые признаны непригодными для постоянного проживания. Техническое состояние многоквартирных домов городского округа характеризуется высоким уровнем износа.</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06EA7">
        <w:rPr>
          <w:rFonts w:ascii="Times New Roman" w:eastAsia="Times New Roman" w:hAnsi="Times New Roman" w:cs="Times New Roman"/>
          <w:sz w:val="24"/>
          <w:szCs w:val="24"/>
          <w:shd w:val="clear" w:color="auto" w:fill="FFFFFF"/>
          <w:lang w:eastAsia="ru-RU"/>
        </w:rPr>
        <w:t>Общая площадь жилых помещений в городском округе по состоянию на</w:t>
      </w:r>
      <w:r w:rsidR="005543E9" w:rsidRPr="00906EA7">
        <w:rPr>
          <w:rFonts w:ascii="Times New Roman" w:eastAsia="Times New Roman" w:hAnsi="Times New Roman" w:cs="Times New Roman"/>
          <w:sz w:val="24"/>
          <w:szCs w:val="24"/>
          <w:shd w:val="clear" w:color="auto" w:fill="FFFFFF"/>
          <w:lang w:eastAsia="ru-RU"/>
        </w:rPr>
        <w:t xml:space="preserve"> 01.01.2020 составляет 1 123,0</w:t>
      </w:r>
      <w:r w:rsidRPr="00906EA7">
        <w:rPr>
          <w:rFonts w:ascii="Times New Roman" w:eastAsia="Times New Roman" w:hAnsi="Times New Roman" w:cs="Times New Roman"/>
          <w:sz w:val="24"/>
          <w:szCs w:val="24"/>
          <w:shd w:val="clear" w:color="auto" w:fill="FFFFFF"/>
          <w:lang w:eastAsia="ru-RU"/>
        </w:rPr>
        <w:t xml:space="preserve"> тыс. кв. м, в том числе муницип</w:t>
      </w:r>
      <w:r w:rsidR="005543E9" w:rsidRPr="00906EA7">
        <w:rPr>
          <w:rFonts w:ascii="Times New Roman" w:eastAsia="Times New Roman" w:hAnsi="Times New Roman" w:cs="Times New Roman"/>
          <w:sz w:val="24"/>
          <w:szCs w:val="24"/>
          <w:shd w:val="clear" w:color="auto" w:fill="FFFFFF"/>
          <w:lang w:eastAsia="ru-RU"/>
        </w:rPr>
        <w:t>ального жилищного фонда – 125,5</w:t>
      </w:r>
      <w:r w:rsidRPr="00906EA7">
        <w:rPr>
          <w:rFonts w:ascii="Times New Roman" w:eastAsia="Times New Roman" w:hAnsi="Times New Roman" w:cs="Times New Roman"/>
          <w:sz w:val="24"/>
          <w:szCs w:val="24"/>
          <w:shd w:val="clear" w:color="auto" w:fill="FFFFFF"/>
          <w:lang w:eastAsia="ru-RU"/>
        </w:rPr>
        <w:t xml:space="preserve">                      тыс. кв. м.</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Дома капитального исполнения (каменные, кирпичные, панельные, блочные, монолитные) составляют 79</w:t>
      </w:r>
      <w:r w:rsidR="005543E9"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 xml:space="preserve">% от общей площади всего жилищного фонда, доля жилищного фонда в деревянном исполнении и из смешанных, прочих материалов стен </w:t>
      </w:r>
      <w:r w:rsidRPr="00906EA7">
        <w:rPr>
          <w:rFonts w:ascii="Times New Roman" w:eastAsia="Times New Roman" w:hAnsi="Times New Roman" w:cs="Times New Roman"/>
          <w:sz w:val="24"/>
          <w:szCs w:val="24"/>
          <w:shd w:val="clear" w:color="auto" w:fill="FFFFFF"/>
          <w:lang w:eastAsia="ru-RU"/>
        </w:rPr>
        <w:t>–</w:t>
      </w:r>
      <w:r w:rsidR="005543E9" w:rsidRPr="00906EA7">
        <w:rPr>
          <w:rFonts w:ascii="Times New Roman" w:eastAsia="Times New Roman" w:hAnsi="Times New Roman" w:cs="Times New Roman"/>
          <w:sz w:val="24"/>
          <w:szCs w:val="24"/>
          <w:lang w:eastAsia="ru-RU"/>
        </w:rPr>
        <w:t xml:space="preserve"> 20,8</w:t>
      </w:r>
      <w:r w:rsidRPr="00906EA7">
        <w:rPr>
          <w:rFonts w:ascii="Times New Roman" w:eastAsia="Times New Roman" w:hAnsi="Times New Roman" w:cs="Times New Roman"/>
          <w:sz w:val="24"/>
          <w:szCs w:val="24"/>
          <w:lang w:eastAsia="ru-RU"/>
        </w:rPr>
        <w:t>%.</w:t>
      </w:r>
    </w:p>
    <w:p w:rsidR="001A028F" w:rsidRPr="00906EA7" w:rsidRDefault="001A028F"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906EA7">
        <w:rPr>
          <w:rFonts w:ascii="Times New Roman" w:eastAsia="Times New Roman" w:hAnsi="Times New Roman" w:cs="Times New Roman"/>
          <w:bCs/>
          <w:sz w:val="24"/>
          <w:szCs w:val="24"/>
          <w:lang w:eastAsia="ru-RU"/>
        </w:rPr>
        <w:t>комплекс работ и услуг по</w:t>
      </w:r>
      <w:r w:rsidRPr="00906EA7">
        <w:rPr>
          <w:rFonts w:ascii="Times New Roman" w:eastAsia="Times New Roman" w:hAnsi="Times New Roman" w:cs="Times New Roman"/>
          <w:b/>
          <w:bCs/>
          <w:sz w:val="24"/>
          <w:szCs w:val="24"/>
          <w:lang w:eastAsia="ru-RU"/>
        </w:rPr>
        <w:t> </w:t>
      </w:r>
      <w:r w:rsidRPr="00906EA7">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906EA7">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906EA7">
        <w:rPr>
          <w:rFonts w:ascii="Times New Roman" w:eastAsia="Times New Roman" w:hAnsi="Times New Roman" w:cs="Times New Roman"/>
          <w:b/>
          <w:bCs/>
          <w:sz w:val="24"/>
          <w:szCs w:val="24"/>
          <w:lang w:eastAsia="ru-RU"/>
        </w:rPr>
        <w:t> </w:t>
      </w:r>
      <w:r w:rsidRPr="00906EA7">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1A028F" w:rsidRPr="00906EA7" w:rsidRDefault="001A028F"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Times New Roman" w:hAnsi="Times New Roman" w:cs="Times New Roman"/>
          <w:sz w:val="24"/>
          <w:szCs w:val="24"/>
          <w:lang w:eastAsia="ru-RU"/>
        </w:rPr>
        <w:t xml:space="preserve">В городском округе осуществляют деятельность 4 управляющие организации, </w:t>
      </w:r>
      <w:r w:rsidR="005D5C16" w:rsidRPr="00906EA7">
        <w:rPr>
          <w:rFonts w:ascii="Times New Roman" w:eastAsia="Times New Roman" w:hAnsi="Times New Roman" w:cs="Times New Roman"/>
          <w:sz w:val="24"/>
          <w:szCs w:val="24"/>
          <w:lang w:eastAsia="ru-RU"/>
        </w:rPr>
        <w:t>1</w:t>
      </w:r>
      <w:r w:rsidRPr="00906EA7">
        <w:rPr>
          <w:rFonts w:ascii="Times New Roman" w:eastAsia="Times New Roman" w:hAnsi="Times New Roman" w:cs="Times New Roman"/>
          <w:sz w:val="24"/>
          <w:szCs w:val="24"/>
          <w:lang w:eastAsia="ru-RU"/>
        </w:rPr>
        <w:t xml:space="preserve"> товариществ</w:t>
      </w:r>
      <w:r w:rsidR="005D5C16" w:rsidRPr="00906EA7">
        <w:rPr>
          <w:rFonts w:ascii="Times New Roman" w:eastAsia="Times New Roman" w:hAnsi="Times New Roman" w:cs="Times New Roman"/>
          <w:sz w:val="24"/>
          <w:szCs w:val="24"/>
          <w:lang w:eastAsia="ru-RU"/>
        </w:rPr>
        <w:t>о</w:t>
      </w:r>
      <w:r w:rsidRPr="00906EA7">
        <w:rPr>
          <w:rFonts w:ascii="Times New Roman" w:eastAsia="Times New Roman" w:hAnsi="Times New Roman" w:cs="Times New Roman"/>
          <w:sz w:val="24"/>
          <w:szCs w:val="24"/>
          <w:lang w:eastAsia="ru-RU"/>
        </w:rPr>
        <w:t xml:space="preserve"> собственников жилья, </w:t>
      </w:r>
      <w:r w:rsidR="005D5C16" w:rsidRPr="00906EA7">
        <w:rPr>
          <w:rFonts w:ascii="Times New Roman" w:eastAsia="Times New Roman" w:hAnsi="Times New Roman" w:cs="Times New Roman"/>
          <w:sz w:val="24"/>
          <w:szCs w:val="24"/>
          <w:lang w:eastAsia="ru-RU"/>
        </w:rPr>
        <w:t xml:space="preserve">3 </w:t>
      </w:r>
      <w:r w:rsidRPr="00906EA7">
        <w:rPr>
          <w:rFonts w:ascii="Times New Roman" w:eastAsia="Times New Roman" w:hAnsi="Times New Roman" w:cs="Times New Roman"/>
          <w:sz w:val="24"/>
          <w:szCs w:val="24"/>
          <w:lang w:eastAsia="ru-RU"/>
        </w:rPr>
        <w:t>товарищества собственников недвижимости.</w:t>
      </w:r>
    </w:p>
    <w:p w:rsidR="001A028F" w:rsidRPr="00906EA7" w:rsidRDefault="001A028F"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В Мегионе действует Общественный совет </w:t>
      </w:r>
      <w:r w:rsidRPr="00906EA7">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906EA7">
        <w:rPr>
          <w:rFonts w:ascii="Times New Roman" w:eastAsia="Calibri" w:hAnsi="Times New Roman" w:cs="Times New Roman"/>
          <w:sz w:val="24"/>
          <w:szCs w:val="24"/>
        </w:rPr>
        <w:t>.</w:t>
      </w:r>
    </w:p>
    <w:p w:rsidR="001A028F" w:rsidRPr="00906EA7" w:rsidRDefault="001A028F"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улучшения условий проживания граждан осуществлялось переселение граждан из жилищного фонда, признанного непригодным для проживания. В течение года снесено 6 многоквартирных домов общей площадью 1 459,9 кв. м, включая 3 дома в городе и 3 – в поселке городского типа Высокий. </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согласно заключенным муниципальным контрактам на общую сумму 1 305,2 тыс. руб. проведены работы по капитальному ремонту 3 жилых помещений, находящихся в реестре муниципальной собственности, площадь отремонтированного муниципального жилищного фонда составила 107,55 кв. м. </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части мероприятий по энергосбережению и повышению энергетической эффективности 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2019 году установлен 1 прибор учета тепловой энергии на объекте муниципального жилищного фонда, профинансировано на данные цели 9,8                тыс. руб.</w:t>
      </w:r>
    </w:p>
    <w:p w:rsidR="005F04D9"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соответствии с программой капитального ремонта общего имущества в многоквартирных домах, расположенных на территории автономного округа, предусмотрено проведение работ в 222 многоквартирных домах городского округа. По данной программе в 2019 году проведен капитальный ремонт общего имущества в 16 многоквартирных домах городского округа.</w:t>
      </w:r>
      <w:bookmarkStart w:id="2" w:name="OLE_LINK34"/>
      <w:bookmarkStart w:id="3" w:name="OLE_LINK35"/>
    </w:p>
    <w:p w:rsidR="00FB387D" w:rsidRPr="00906EA7" w:rsidRDefault="001A028F" w:rsidP="0097253F">
      <w:pPr>
        <w:widowControl w:val="0"/>
        <w:spacing w:after="0" w:line="240" w:lineRule="auto"/>
        <w:ind w:firstLine="709"/>
        <w:jc w:val="both"/>
        <w:rPr>
          <w:rFonts w:ascii="Times New Roman" w:eastAsia="Calibri Light" w:hAnsi="Times New Roman"/>
          <w:sz w:val="24"/>
          <w:szCs w:val="24"/>
        </w:rPr>
      </w:pPr>
      <w:r w:rsidRPr="00906EA7">
        <w:rPr>
          <w:rFonts w:ascii="Times New Roman" w:eastAsia="Calibri Light" w:hAnsi="Times New Roman"/>
          <w:sz w:val="24"/>
          <w:szCs w:val="24"/>
        </w:rPr>
        <w:t>Остры</w:t>
      </w:r>
      <w:r w:rsidR="00D16FFF" w:rsidRPr="00906EA7">
        <w:rPr>
          <w:rFonts w:ascii="Times New Roman" w:eastAsia="Calibri Light" w:hAnsi="Times New Roman"/>
          <w:sz w:val="24"/>
          <w:szCs w:val="24"/>
        </w:rPr>
        <w:t>м</w:t>
      </w:r>
      <w:r w:rsidRPr="00906EA7">
        <w:rPr>
          <w:rFonts w:ascii="Times New Roman" w:eastAsia="Calibri Light" w:hAnsi="Times New Roman"/>
          <w:sz w:val="24"/>
          <w:szCs w:val="24"/>
        </w:rPr>
        <w:t xml:space="preserve"> вопрос</w:t>
      </w:r>
      <w:r w:rsidR="00D16FFF" w:rsidRPr="00906EA7">
        <w:rPr>
          <w:rFonts w:ascii="Times New Roman" w:eastAsia="Calibri Light" w:hAnsi="Times New Roman"/>
          <w:sz w:val="24"/>
          <w:szCs w:val="24"/>
        </w:rPr>
        <w:t>ом</w:t>
      </w:r>
      <w:r w:rsidRPr="00906EA7">
        <w:rPr>
          <w:rFonts w:ascii="Times New Roman" w:eastAsia="Calibri Light" w:hAnsi="Times New Roman"/>
          <w:sz w:val="24"/>
          <w:szCs w:val="24"/>
        </w:rPr>
        <w:t xml:space="preserve"> для сферы жилищно-коммунального хозяйства является наличие задолженности населения за оказанные жилищно-коммунальные услуги.</w:t>
      </w:r>
    </w:p>
    <w:p w:rsidR="001A028F" w:rsidRPr="00906EA7" w:rsidRDefault="001A028F" w:rsidP="0097253F">
      <w:pPr>
        <w:widowControl w:val="0"/>
        <w:spacing w:after="0" w:line="240" w:lineRule="auto"/>
        <w:ind w:firstLine="709"/>
        <w:jc w:val="both"/>
        <w:rPr>
          <w:rFonts w:ascii="Times New Roman" w:eastAsia="Calibri Light" w:hAnsi="Times New Roman"/>
          <w:sz w:val="24"/>
          <w:szCs w:val="24"/>
        </w:rPr>
      </w:pPr>
      <w:r w:rsidRPr="00906EA7">
        <w:rPr>
          <w:rFonts w:ascii="Times New Roman" w:eastAsia="Calibri Light" w:hAnsi="Times New Roman"/>
          <w:sz w:val="24"/>
          <w:szCs w:val="24"/>
        </w:rPr>
        <w:t>По состоянию на 01.01.2020 размер просроченной задолженности населения за оказанные жилищно-коммунальные услуги (1 и более месяца) составляет 423,8 млн руб.</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 xml:space="preserve">При этом, с начала 2019 года наблюдается положительная динамика роста уровня собираемости платежей населения за жилищно-коммунальные услуги. Так, по состоянию на 01.01.2019, данный показатель составлял 94,7%, на 01.01.2020 – 97,6% (начислено за </w:t>
      </w:r>
      <w:r w:rsidRPr="00906EA7">
        <w:rPr>
          <w:rFonts w:ascii="Times New Roman" w:eastAsia="Calibri Light" w:hAnsi="Times New Roman"/>
          <w:sz w:val="24"/>
          <w:szCs w:val="24"/>
        </w:rPr>
        <w:lastRenderedPageBreak/>
        <w:t>жилищно-коммунальные услуги 1 159,2 млн руб., оплачено населением за отчетный период 1 131,0 млн руб.).</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С целью недопущения роста дебиторской задолженности за жилищно-коммунальные услуги, ее снижения и ликвидации проводится следующая работа:</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 xml:space="preserve">реализуется план мероприятий по снижению задолженности населения за предоставленные жилищно-коммунальные услуги; </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реализуется план мероприятий («Дорожная карта») по недопущению образования дебиторской задолженности муниципального унитарного предприятия «Тепловодоканал»;</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создана рабочая комиссия по снижению задолженности за оказанные жилищно-коммунальные услуги, заседания которой проходят ежемесячно.</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Для облегчения бремени повседневных затрат на жилищно-коммунальные расходы малоимущим, а также владельцам и квартиросъемщикам с невысоким уровнем дохода, осуществляется государственная поддержка в виде предоставления субсидии на оплату жилищно-коммунальных услуг. Данная мера социальной поддержки предоставляется в денежной форме на персонифицированные счета граждан.</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Предоставление субсидий по оплате жилищно-коммунальных услуг населению осуществляет казенное учреждение Ханты-Мансийского автономного округа – Югры «Центр социальных выплат». За год предоставлены субсидии 523 семьям городского округа.</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Немаловажным для городского округа 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городского округа город Мегион на 2019-2025 годы». В минувшем году продолжалось выполнение работ по благоустройству общественной территории - объекта «Аллея Славы» по улице Строителей. </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«Аллея Славы», это зона отдыха горожан, концепций которой является увековечение памяти воинов всех времен. На ее территории проводятся мероприятия, посвященные празднованию Дня Победы в Великой Отечественной войне, мероприятия патриотической направленности для детей и подростков. Социальная и культурная значимость данного проекта оценивается в масштабе города.</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2019 году заключен муниципальный контракт на благоустройство общественной территории «Аллеи Славы» на сумму 20 999,4 тыс. руб. (средства федерального бюджета - 6 855,8 тыс. руб., окружного бюджета - 11 041,4 тыс. руб., местного бюджета - 3 102,2 тыс. руб.). </w:t>
      </w:r>
    </w:p>
    <w:p w:rsidR="001A028F" w:rsidRPr="00906EA7" w:rsidRDefault="001A028F"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Помимо этого, </w:t>
      </w:r>
      <w:r w:rsidRPr="00906EA7">
        <w:rPr>
          <w:rFonts w:ascii="Times New Roman" w:eastAsia="Calibri Light" w:hAnsi="Times New Roman" w:cs="Times New Roman"/>
          <w:sz w:val="24"/>
          <w:szCs w:val="24"/>
        </w:rPr>
        <w:t>заключен муниципальный контракт на поставку</w:t>
      </w:r>
      <w:r w:rsidR="00D16FFF" w:rsidRPr="00906EA7">
        <w:rPr>
          <w:rFonts w:ascii="Times New Roman" w:eastAsia="Calibri Light" w:hAnsi="Times New Roman" w:cs="Times New Roman"/>
          <w:sz w:val="24"/>
          <w:szCs w:val="24"/>
        </w:rPr>
        <w:t xml:space="preserve"> </w:t>
      </w:r>
      <w:r w:rsidRPr="00906EA7">
        <w:rPr>
          <w:rFonts w:ascii="Times New Roman" w:eastAsia="Calibri Light" w:hAnsi="Times New Roman" w:cs="Times New Roman"/>
          <w:sz w:val="24"/>
          <w:szCs w:val="24"/>
        </w:rPr>
        <w:t>скульптурн</w:t>
      </w:r>
      <w:r w:rsidR="00D16FFF" w:rsidRPr="00906EA7">
        <w:rPr>
          <w:rFonts w:ascii="Times New Roman" w:eastAsia="Calibri Light" w:hAnsi="Times New Roman" w:cs="Times New Roman"/>
          <w:sz w:val="24"/>
          <w:szCs w:val="24"/>
        </w:rPr>
        <w:t>ой</w:t>
      </w:r>
      <w:r w:rsidRPr="00906EA7">
        <w:rPr>
          <w:rFonts w:ascii="Times New Roman" w:eastAsia="Calibri Light" w:hAnsi="Times New Roman" w:cs="Times New Roman"/>
          <w:sz w:val="24"/>
          <w:szCs w:val="24"/>
        </w:rPr>
        <w:t xml:space="preserve"> композици</w:t>
      </w:r>
      <w:r w:rsidR="00D16FFF" w:rsidRPr="00906EA7">
        <w:rPr>
          <w:rFonts w:ascii="Times New Roman" w:eastAsia="Calibri Light" w:hAnsi="Times New Roman" w:cs="Times New Roman"/>
          <w:sz w:val="24"/>
          <w:szCs w:val="24"/>
        </w:rPr>
        <w:t>и</w:t>
      </w:r>
      <w:r w:rsidRPr="00906EA7">
        <w:rPr>
          <w:rFonts w:ascii="Times New Roman" w:eastAsia="Calibri Light" w:hAnsi="Times New Roman" w:cs="Times New Roman"/>
          <w:sz w:val="24"/>
          <w:szCs w:val="24"/>
        </w:rPr>
        <w:t xml:space="preserve"> «Книга летописи большой нефти» для комплектации объекта «Аллея славы» в городе Меги</w:t>
      </w:r>
      <w:r w:rsidR="001875D3" w:rsidRPr="00906EA7">
        <w:rPr>
          <w:rFonts w:ascii="Times New Roman" w:eastAsia="Calibri Light" w:hAnsi="Times New Roman" w:cs="Times New Roman"/>
          <w:sz w:val="24"/>
          <w:szCs w:val="24"/>
        </w:rPr>
        <w:t xml:space="preserve">оне на сумму 2 350,0 тыс. руб. </w:t>
      </w:r>
      <w:r w:rsidRPr="00906EA7">
        <w:rPr>
          <w:rFonts w:ascii="Times New Roman" w:eastAsia="Calibri Light" w:hAnsi="Times New Roman" w:cs="Times New Roman"/>
          <w:sz w:val="24"/>
          <w:szCs w:val="24"/>
        </w:rPr>
        <w:t xml:space="preserve">Ее монтаж будет произведен в 2020 году. </w:t>
      </w:r>
    </w:p>
    <w:bookmarkEnd w:id="2"/>
    <w:bookmarkEnd w:id="3"/>
    <w:p w:rsidR="001A028F" w:rsidRPr="00906EA7" w:rsidRDefault="001A028F" w:rsidP="0097253F">
      <w:pPr>
        <w:pStyle w:val="af2"/>
        <w:widowControl w:val="0"/>
        <w:ind w:firstLine="709"/>
        <w:jc w:val="both"/>
        <w:rPr>
          <w:rFonts w:ascii="Times New Roman" w:hAnsi="Times New Roman"/>
          <w:sz w:val="24"/>
          <w:szCs w:val="24"/>
        </w:rPr>
      </w:pPr>
      <w:r w:rsidRPr="00906EA7">
        <w:rPr>
          <w:rFonts w:ascii="Times New Roman" w:hAnsi="Times New Roman"/>
          <w:sz w:val="24"/>
          <w:szCs w:val="24"/>
        </w:rPr>
        <w:t>Перспективным направлением деятельности является поддержка местных инициатив. Конкурсный отбор проектов поддержки местных инициатив направлен на реализацию социально значимых проектов с привлечением граждан и организаций к деятельности органов местного самоуправления в решении вопросов местного значения. Поддержка местных инициатив осуществляется посредством субсидирования путем предоставления грантов победителям конкурсного отбора.</w:t>
      </w:r>
    </w:p>
    <w:p w:rsidR="001A028F" w:rsidRPr="00906EA7" w:rsidRDefault="001A028F" w:rsidP="0097253F">
      <w:pPr>
        <w:pStyle w:val="af0"/>
        <w:widowControl w:val="0"/>
        <w:tabs>
          <w:tab w:val="left" w:pos="1276"/>
        </w:tabs>
        <w:spacing w:after="0" w:line="240" w:lineRule="auto"/>
        <w:ind w:left="0" w:firstLine="709"/>
        <w:jc w:val="both"/>
        <w:rPr>
          <w:rFonts w:ascii="Times New Roman" w:hAnsi="Times New Roman"/>
          <w:sz w:val="24"/>
          <w:szCs w:val="24"/>
        </w:rPr>
      </w:pPr>
      <w:r w:rsidRPr="00906EA7">
        <w:rPr>
          <w:rFonts w:ascii="Times New Roman" w:eastAsia="Calibri Light" w:hAnsi="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на 2019-2025 годы» </w:t>
      </w:r>
      <w:r w:rsidRPr="00906EA7">
        <w:rPr>
          <w:rFonts w:ascii="Times New Roman" w:hAnsi="Times New Roman"/>
          <w:sz w:val="24"/>
          <w:szCs w:val="24"/>
        </w:rPr>
        <w:t>в 2019 году администрацией города предоставлено 3 гранта на общую сумму 5 740,7 тыс. руб. (освоение бюджетных средств по данной статье расходов – 100%) следующим организациям:</w:t>
      </w:r>
    </w:p>
    <w:p w:rsidR="001A028F" w:rsidRPr="00906EA7" w:rsidRDefault="001A028F"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1.Грант Мегионскому фонду социальных программ и проектов «Меценат» по направлению проекта «Благоустройство общественных территорий городского округа город Мегион» на сумму 5 150 тыс. руб. на реализацию проекта «Благоустройство сквера в районе Центральной городской библиотеки». Общая стоимость проекта составила 5 969,3 тыс. руб., </w:t>
      </w:r>
      <w:r w:rsidRPr="00906EA7">
        <w:rPr>
          <w:rFonts w:ascii="Times New Roman" w:hAnsi="Times New Roman" w:cs="Times New Roman"/>
          <w:sz w:val="24"/>
          <w:szCs w:val="24"/>
        </w:rPr>
        <w:lastRenderedPageBreak/>
        <w:t xml:space="preserve">в том числе на его реализацию привлечено внебюджетных инвестиций (средств юридических лиц, ИП) в сумме 819,3 </w:t>
      </w:r>
      <w:r w:rsidR="00D16FFF" w:rsidRPr="00906EA7">
        <w:rPr>
          <w:rFonts w:ascii="Times New Roman" w:hAnsi="Times New Roman" w:cs="Times New Roman"/>
          <w:sz w:val="24"/>
          <w:szCs w:val="24"/>
        </w:rPr>
        <w:t xml:space="preserve">тыс. </w:t>
      </w:r>
      <w:r w:rsidRPr="00906EA7">
        <w:rPr>
          <w:rFonts w:ascii="Times New Roman" w:hAnsi="Times New Roman" w:cs="Times New Roman"/>
          <w:sz w:val="24"/>
          <w:szCs w:val="24"/>
        </w:rPr>
        <w:t>руб. (13,7% от общей стоимости проекта).</w:t>
      </w:r>
    </w:p>
    <w:p w:rsidR="001A028F" w:rsidRPr="00906EA7" w:rsidRDefault="001A028F" w:rsidP="0097253F">
      <w:pPr>
        <w:pStyle w:val="af0"/>
        <w:tabs>
          <w:tab w:val="left" w:pos="993"/>
          <w:tab w:val="left" w:pos="1276"/>
        </w:tabs>
        <w:spacing w:after="0" w:line="240" w:lineRule="auto"/>
        <w:ind w:left="0" w:firstLine="709"/>
        <w:jc w:val="both"/>
        <w:rPr>
          <w:rFonts w:ascii="Times New Roman" w:hAnsi="Times New Roman"/>
          <w:sz w:val="24"/>
          <w:szCs w:val="24"/>
        </w:rPr>
      </w:pPr>
      <w:r w:rsidRPr="00906EA7">
        <w:rPr>
          <w:rFonts w:ascii="Times New Roman" w:hAnsi="Times New Roman"/>
          <w:sz w:val="24"/>
          <w:szCs w:val="24"/>
        </w:rPr>
        <w:t>2.Грант общественной организации города Мегиона территориальное общественное самоуправление «Победа» по направлению проекта «Обустройство общественной парковки на территории городского округа город Мегион» в сумме 270 тыс. руб. на реализацию проекта «Обустройство общественной парковки в районе многоквартирного дома №24 по проспекту Победы в городе Мегионе». Общая стоимость проекта составила 282,7 тыс. руб., в том числе привлечено внебюджетных инвестиций (средств граждан) в сумме 12,7 тыс. руб. (4,5% от общей стоимости проекта).</w:t>
      </w:r>
    </w:p>
    <w:p w:rsidR="001A028F" w:rsidRPr="00906EA7" w:rsidRDefault="001A028F" w:rsidP="0097253F">
      <w:pPr>
        <w:pStyle w:val="af0"/>
        <w:tabs>
          <w:tab w:val="left" w:pos="993"/>
          <w:tab w:val="left" w:pos="1276"/>
        </w:tabs>
        <w:spacing w:after="0" w:line="240" w:lineRule="auto"/>
        <w:ind w:left="0" w:firstLine="709"/>
        <w:jc w:val="both"/>
        <w:rPr>
          <w:rFonts w:ascii="Times New Roman" w:hAnsi="Times New Roman"/>
          <w:sz w:val="24"/>
          <w:szCs w:val="24"/>
        </w:rPr>
      </w:pPr>
      <w:r w:rsidRPr="00906EA7">
        <w:rPr>
          <w:rFonts w:ascii="Times New Roman" w:hAnsi="Times New Roman"/>
          <w:sz w:val="24"/>
          <w:szCs w:val="24"/>
        </w:rPr>
        <w:t>3.Грант Мегионскому фонду социальных программ и проектов «Меценат» по направлению проекта «Обустройство пешеходной зоны на территории городского округа город Мегион» на сумму 320,7 тыс. руб. на реализацию проекта «Выполнение работ по устройству тротуара на перекрестке улиц Свободы и Нефтяников в городе Мегионе». Общая стоимость проекта составила 389,9 тыс. руб., в том числе привлечено внебюджетных инвестиций (средств ИП) в сумме 69,2 тыс. руб. (17,7% от общей стоимости проекта).</w:t>
      </w:r>
    </w:p>
    <w:p w:rsidR="001A028F" w:rsidRPr="00906EA7" w:rsidRDefault="001A028F" w:rsidP="0097253F">
      <w:pPr>
        <w:pStyle w:val="af0"/>
        <w:tabs>
          <w:tab w:val="left" w:pos="993"/>
          <w:tab w:val="left" w:pos="1276"/>
        </w:tabs>
        <w:spacing w:after="0" w:line="240" w:lineRule="auto"/>
        <w:ind w:left="0" w:firstLine="709"/>
        <w:jc w:val="both"/>
        <w:rPr>
          <w:rFonts w:ascii="Times New Roman" w:hAnsi="Times New Roman"/>
          <w:sz w:val="24"/>
          <w:szCs w:val="24"/>
        </w:rPr>
      </w:pPr>
      <w:r w:rsidRPr="00906EA7">
        <w:rPr>
          <w:rFonts w:ascii="Times New Roman" w:hAnsi="Times New Roman"/>
          <w:sz w:val="24"/>
          <w:szCs w:val="24"/>
        </w:rPr>
        <w:t xml:space="preserve">В целом, общая стоимость 3 реализованных проектов инициативного бюджетирования составила 6 641,9 тыс. руб., в том числе привлечено внебюджетных инвестиций в сумме 901,2 тыс. руб. - это порядка 14% от общей стоимости проектов. Также обеспечен нефинансовый вклад граждан, юридических лиц, ИП и трудовое участие (выполнены земляные работы (планировка грунта); очистка территории от строительного и иного мусора, загрязнений (в рамках организуемых субботников); озеленение территорий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w:t>
      </w:r>
    </w:p>
    <w:p w:rsidR="001A028F" w:rsidRPr="00906EA7" w:rsidRDefault="001A028F" w:rsidP="0097253F">
      <w:pPr>
        <w:pStyle w:val="af0"/>
        <w:tabs>
          <w:tab w:val="left" w:pos="993"/>
          <w:tab w:val="left" w:pos="1276"/>
        </w:tabs>
        <w:spacing w:after="0" w:line="240" w:lineRule="auto"/>
        <w:ind w:left="0" w:firstLine="709"/>
        <w:jc w:val="both"/>
        <w:rPr>
          <w:rFonts w:ascii="Times New Roman" w:hAnsi="Times New Roman"/>
          <w:sz w:val="24"/>
          <w:szCs w:val="24"/>
        </w:rPr>
      </w:pPr>
      <w:r w:rsidRPr="00906EA7">
        <w:rPr>
          <w:rFonts w:ascii="Times New Roman" w:eastAsia="Calibri Light" w:hAnsi="Times New Roman"/>
          <w:sz w:val="24"/>
          <w:szCs w:val="24"/>
        </w:rPr>
        <w:t>Кроме этого, в 2019 году 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осуществлялись мероприятия по предупреждению и ликвидации болезней животных, их лечению, защите населения от болезней, общих для человека и животных. О</w:t>
      </w:r>
      <w:r w:rsidRPr="00906EA7">
        <w:rPr>
          <w:rFonts w:ascii="Times New Roman" w:hAnsi="Times New Roman"/>
          <w:sz w:val="24"/>
          <w:szCs w:val="24"/>
        </w:rPr>
        <w:t>бществом с ограниченной ответственностью «Универсалремонт» оказаны услуги по отлову, транспортировке, учету, содержанию, безнадзорных и бродячих животных (животных без владельца), в количестве 34 шт.</w:t>
      </w:r>
      <w:r w:rsidRPr="00906EA7">
        <w:rPr>
          <w:rFonts w:ascii="Times New Roman" w:eastAsia="Calibri Light" w:hAnsi="Times New Roman"/>
          <w:sz w:val="24"/>
          <w:szCs w:val="24"/>
        </w:rPr>
        <w:t xml:space="preserve"> Затраты по данному мероприятию составили 367,2 тыс. руб.</w:t>
      </w:r>
    </w:p>
    <w:p w:rsidR="001A028F" w:rsidRPr="00906EA7" w:rsidRDefault="001A028F" w:rsidP="0097253F">
      <w:pPr>
        <w:pStyle w:val="af0"/>
        <w:keepNext/>
        <w:widowControl w:val="0"/>
        <w:spacing w:after="0" w:line="240" w:lineRule="auto"/>
        <w:ind w:left="0" w:firstLine="709"/>
        <w:jc w:val="both"/>
        <w:rPr>
          <w:rFonts w:ascii="Times New Roman" w:hAnsi="Times New Roman"/>
          <w:sz w:val="24"/>
          <w:szCs w:val="24"/>
        </w:rPr>
      </w:pPr>
      <w:r w:rsidRPr="00906EA7">
        <w:rPr>
          <w:rFonts w:ascii="Times New Roman" w:eastAsia="Calibri Light" w:hAnsi="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на 65 детских игровых площадках городского округа (50 – в городе, 15 – в пгт Высокий) проведены </w:t>
      </w:r>
      <w:r w:rsidRPr="00906EA7">
        <w:rPr>
          <w:rFonts w:ascii="Times New Roman" w:hAnsi="Times New Roman"/>
          <w:sz w:val="24"/>
          <w:szCs w:val="24"/>
        </w:rPr>
        <w:t xml:space="preserve">работы по их содержанию и ремонту </w:t>
      </w:r>
      <w:r w:rsidRPr="00906EA7">
        <w:rPr>
          <w:rFonts w:ascii="Times New Roman" w:eastAsia="Calibri Light" w:hAnsi="Times New Roman"/>
          <w:sz w:val="24"/>
          <w:szCs w:val="24"/>
        </w:rPr>
        <w:t>(</w:t>
      </w:r>
      <w:r w:rsidRPr="00906EA7">
        <w:rPr>
          <w:rFonts w:ascii="Times New Roman" w:hAnsi="Times New Roman"/>
          <w:sz w:val="24"/>
          <w:szCs w:val="24"/>
        </w:rPr>
        <w:t>очистка урн и территории детских площадок от мусора, покос травы, подсыпка территории песком</w:t>
      </w:r>
      <w:r w:rsidRPr="00906EA7">
        <w:rPr>
          <w:rFonts w:ascii="Times New Roman" w:eastAsia="Calibri Light" w:hAnsi="Times New Roman"/>
          <w:sz w:val="24"/>
          <w:szCs w:val="24"/>
        </w:rPr>
        <w:t xml:space="preserve">, </w:t>
      </w:r>
      <w:r w:rsidRPr="00906EA7">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 Мероприятия выполнены на общую сумму 1 986,8 тыс. руб.</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На территории муниципального образования город Мегион имеется 3 городских кладбища:</w:t>
      </w:r>
    </w:p>
    <w:p w:rsidR="001A028F" w:rsidRPr="00906EA7" w:rsidRDefault="001A028F" w:rsidP="009725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городское кладбище, расположенное на 188 км автомобильной дороги Сургут – Нижневартовск; </w:t>
      </w:r>
    </w:p>
    <w:p w:rsidR="001A028F" w:rsidRPr="00906EA7" w:rsidRDefault="001A028F" w:rsidP="009725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городское кладбище, находящееся по улице Новой;</w:t>
      </w:r>
    </w:p>
    <w:p w:rsidR="001A028F" w:rsidRPr="00906EA7" w:rsidRDefault="001A028F" w:rsidP="009725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новое городское кладбище, расположенное на 188 км автомобильной дороги Сургут – Нижневартовск.</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bCs/>
          <w:sz w:val="24"/>
          <w:szCs w:val="24"/>
        </w:rPr>
        <w:t xml:space="preserve">В рамках </w:t>
      </w:r>
      <w:r w:rsidRPr="00906EA7">
        <w:rPr>
          <w:rFonts w:ascii="Times New Roman" w:eastAsia="Calibri Light" w:hAnsi="Times New Roman" w:cs="Times New Roman"/>
          <w:sz w:val="24"/>
          <w:szCs w:val="24"/>
        </w:rPr>
        <w:t xml:space="preserve">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соответствии с </w:t>
      </w:r>
      <w:r w:rsidRPr="00906EA7">
        <w:rPr>
          <w:rFonts w:ascii="Times New Roman" w:eastAsia="Calibri Light" w:hAnsi="Times New Roman" w:cs="Times New Roman"/>
          <w:bCs/>
          <w:sz w:val="24"/>
          <w:szCs w:val="24"/>
        </w:rPr>
        <w:t xml:space="preserve">заключенным муниципальным контрактом на сумму </w:t>
      </w:r>
      <w:r w:rsidRPr="00906EA7">
        <w:rPr>
          <w:rFonts w:ascii="Times New Roman" w:hAnsi="Times New Roman" w:cs="Times New Roman"/>
          <w:sz w:val="24"/>
          <w:szCs w:val="24"/>
        </w:rPr>
        <w:t xml:space="preserve">1 495,3 тыс. руб. </w:t>
      </w:r>
      <w:r w:rsidRPr="00906EA7">
        <w:rPr>
          <w:rFonts w:ascii="Times New Roman" w:eastAsia="Calibri Light" w:hAnsi="Times New Roman" w:cs="Times New Roman"/>
          <w:bCs/>
          <w:sz w:val="24"/>
          <w:szCs w:val="24"/>
        </w:rPr>
        <w:t xml:space="preserve">в течение 2019 года подрядной организацией ООО «Геокар» выполнялись мероприятия </w:t>
      </w:r>
      <w:r w:rsidRPr="00906EA7">
        <w:rPr>
          <w:rFonts w:ascii="Times New Roman" w:eastAsia="Calibri Light" w:hAnsi="Times New Roman" w:cs="Times New Roman"/>
          <w:sz w:val="24"/>
          <w:szCs w:val="24"/>
        </w:rPr>
        <w:t>по п</w:t>
      </w:r>
      <w:r w:rsidRPr="00906EA7">
        <w:rPr>
          <w:rFonts w:ascii="Times New Roman" w:eastAsia="Times New Roman" w:hAnsi="Times New Roman" w:cs="Times New Roman"/>
          <w:sz w:val="24"/>
          <w:szCs w:val="24"/>
          <w:lang w:eastAsia="ru-RU"/>
        </w:rPr>
        <w:t xml:space="preserve">оддержанию надлежащего технического состояния проездов общего пользования, санитарного состояния территорий кладбища, а также оказание услуг по </w:t>
      </w:r>
      <w:r w:rsidRPr="00906EA7">
        <w:rPr>
          <w:rFonts w:ascii="Times New Roman" w:eastAsia="Times New Roman" w:hAnsi="Times New Roman" w:cs="Times New Roman"/>
          <w:sz w:val="24"/>
          <w:szCs w:val="24"/>
          <w:lang w:eastAsia="ru-RU"/>
        </w:rPr>
        <w:lastRenderedPageBreak/>
        <w:t>содержанию городских кладбищ.</w:t>
      </w:r>
    </w:p>
    <w:p w:rsidR="001A028F" w:rsidRPr="00906EA7" w:rsidRDefault="001A028F" w:rsidP="009725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Также в рамках заключенных с обществом с ограниченной ответственностью «СК «МЕДВЕДЬ» муниципальных контрактов на отсыпку (в</w:t>
      </w:r>
      <w:r w:rsidR="00CF6160" w:rsidRPr="00906EA7">
        <w:rPr>
          <w:rFonts w:ascii="Times New Roman" w:eastAsia="Times New Roman" w:hAnsi="Times New Roman" w:cs="Times New Roman"/>
          <w:sz w:val="24"/>
          <w:szCs w:val="24"/>
          <w:lang w:eastAsia="ru-RU"/>
        </w:rPr>
        <w:t>ертикальную планировку) объекта</w:t>
      </w:r>
      <w:r w:rsidRPr="00906EA7">
        <w:rPr>
          <w:rFonts w:ascii="Times New Roman" w:eastAsia="Times New Roman" w:hAnsi="Times New Roman" w:cs="Times New Roman"/>
          <w:sz w:val="24"/>
          <w:szCs w:val="24"/>
          <w:lang w:eastAsia="ru-RU"/>
        </w:rPr>
        <w:t xml:space="preserve"> «Ханты-Мансийский автономный округ - Югра г.Мегион.</w:t>
      </w:r>
      <w:r w:rsidR="00CF6160"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 xml:space="preserve">Городское кладбище (2-я очередь) - II этап строительства» </w:t>
      </w:r>
      <w:r w:rsidR="00CF6160" w:rsidRPr="00906EA7">
        <w:rPr>
          <w:rFonts w:ascii="Times New Roman" w:eastAsia="Times New Roman" w:hAnsi="Times New Roman" w:cs="Times New Roman"/>
          <w:sz w:val="24"/>
          <w:szCs w:val="24"/>
          <w:lang w:eastAsia="ru-RU"/>
        </w:rPr>
        <w:t xml:space="preserve">выполнены мероприятия </w:t>
      </w:r>
      <w:r w:rsidRPr="00906EA7">
        <w:rPr>
          <w:rFonts w:ascii="Times New Roman" w:eastAsia="Times New Roman" w:hAnsi="Times New Roman" w:cs="Times New Roman"/>
          <w:sz w:val="24"/>
          <w:szCs w:val="24"/>
          <w:lang w:eastAsia="ru-RU"/>
        </w:rPr>
        <w:t xml:space="preserve">на общую сумму 8 640,9 тыс. руб. </w:t>
      </w:r>
      <w:r w:rsidR="00CF6160"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завезено 14 643,7 куб. м грунта.</w:t>
      </w:r>
    </w:p>
    <w:p w:rsidR="001A028F" w:rsidRPr="00906EA7" w:rsidRDefault="001A028F" w:rsidP="0097253F">
      <w:pPr>
        <w:widowControl w:val="0"/>
        <w:autoSpaceDE w:val="0"/>
        <w:autoSpaceDN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2019 года начался переход на новую систему обращения с твердыми коммунальными отходами. В автономном округе функции единого регионального оператора с 01.07.2019 выполняет АО «Югра-Экология».</w:t>
      </w:r>
    </w:p>
    <w:p w:rsidR="001A028F" w:rsidRPr="00906EA7" w:rsidRDefault="001A028F" w:rsidP="0097253F">
      <w:pPr>
        <w:widowControl w:val="0"/>
        <w:autoSpaceDE w:val="0"/>
        <w:autoSpaceDN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Для информирования населения о переходе на новую систему обращения с отходами на официальном сайте администрации города Мегиона создан раздел «Система обращения с твердыми коммунальными отходами», в котором размещена вся необходимая информация, публиковались новостные сообщения по этой теме. Также управляющими организациями проводилась работа по информированию населения путем размещения данной информации на обратной стороне квитанций. </w:t>
      </w:r>
    </w:p>
    <w:p w:rsidR="001A028F" w:rsidRPr="00906EA7" w:rsidRDefault="001A028F" w:rsidP="0097253F">
      <w:pPr>
        <w:keepNext/>
        <w:widowControl w:val="0"/>
        <w:shd w:val="clear" w:color="auto" w:fill="FFFFFF"/>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Как и прежде, для льготной категории жителей предусмотрена мера социальной поддержки. Компенсация составляет 50% от стоимости этих услуг. Также субсидии предоставляются гражданам, имеющим низкий доход, то есть тем, у кого уровень коммунального платежа в совокупном доходе семьи превышает 22%. Здесь применяется персональный подход.</w:t>
      </w:r>
    </w:p>
    <w:p w:rsidR="001A028F" w:rsidRPr="00906EA7" w:rsidRDefault="001A028F" w:rsidP="0097253F">
      <w:pPr>
        <w:keepNext/>
        <w:widowControl w:val="0"/>
        <w:shd w:val="clear" w:color="auto" w:fill="FFFFFF"/>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01.07.2019 был утвержден тариф для северной зоны, в которую входит Мегион</w:t>
      </w:r>
      <w:r w:rsidR="00CF6160" w:rsidRPr="00906EA7">
        <w:rPr>
          <w:rFonts w:ascii="Times New Roman" w:hAnsi="Times New Roman" w:cs="Times New Roman"/>
          <w:sz w:val="24"/>
          <w:szCs w:val="24"/>
        </w:rPr>
        <w:t>.</w:t>
      </w:r>
      <w:r w:rsidRPr="00906EA7">
        <w:rPr>
          <w:rFonts w:ascii="Times New Roman" w:hAnsi="Times New Roman" w:cs="Times New Roman"/>
          <w:sz w:val="24"/>
          <w:szCs w:val="24"/>
        </w:rPr>
        <w:t xml:space="preserve"> </w:t>
      </w:r>
      <w:r w:rsidR="00CF6160" w:rsidRPr="00906EA7">
        <w:rPr>
          <w:rFonts w:ascii="Times New Roman" w:hAnsi="Times New Roman" w:cs="Times New Roman"/>
          <w:sz w:val="24"/>
          <w:szCs w:val="24"/>
        </w:rPr>
        <w:t>Р</w:t>
      </w:r>
      <w:r w:rsidRPr="00906EA7">
        <w:rPr>
          <w:rFonts w:ascii="Times New Roman" w:hAnsi="Times New Roman" w:cs="Times New Roman"/>
          <w:sz w:val="24"/>
          <w:szCs w:val="24"/>
        </w:rPr>
        <w:t xml:space="preserve">егиональным оператором при содействии администрации города проводилась договорная кампания с собственниками – юридическими и физическими лицами. </w:t>
      </w:r>
    </w:p>
    <w:p w:rsidR="001A028F" w:rsidRPr="00906EA7" w:rsidRDefault="001A028F"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Мегионе – это акционерное общество «Газпром </w:t>
      </w:r>
      <w:r w:rsidR="007E1D3A" w:rsidRPr="00906EA7">
        <w:rPr>
          <w:rFonts w:ascii="Times New Roman" w:hAnsi="Times New Roman" w:cs="Times New Roman"/>
          <w:sz w:val="24"/>
          <w:szCs w:val="24"/>
        </w:rPr>
        <w:t>Э</w:t>
      </w:r>
      <w:r w:rsidRPr="00906EA7">
        <w:rPr>
          <w:rFonts w:ascii="Times New Roman" w:hAnsi="Times New Roman" w:cs="Times New Roman"/>
          <w:sz w:val="24"/>
          <w:szCs w:val="24"/>
        </w:rPr>
        <w:t>нергосбыт Тюмень».</w:t>
      </w:r>
    </w:p>
    <w:p w:rsidR="00CF6160" w:rsidRPr="00906EA7" w:rsidRDefault="001A028F" w:rsidP="0097253F">
      <w:pPr>
        <w:pStyle w:val="ae"/>
        <w:keepNext/>
        <w:widowControl w:val="0"/>
        <w:shd w:val="clear" w:color="auto" w:fill="FFFFFF"/>
        <w:spacing w:before="0" w:beforeAutospacing="0" w:after="0" w:afterAutospacing="0"/>
        <w:ind w:firstLine="709"/>
        <w:jc w:val="both"/>
      </w:pPr>
      <w:r w:rsidRPr="00906EA7">
        <w:t xml:space="preserve">Следующий шаг при переходе на новую систему обращения с ТКО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в городском округе количество мест раздельного накопления твердых коммунальных отходов составляет 77 шт. </w:t>
      </w:r>
    </w:p>
    <w:p w:rsidR="001A028F" w:rsidRPr="00906EA7" w:rsidRDefault="001A028F" w:rsidP="0097253F">
      <w:pPr>
        <w:pStyle w:val="ae"/>
        <w:keepNext/>
        <w:widowControl w:val="0"/>
        <w:shd w:val="clear" w:color="auto" w:fill="FFFFFF"/>
        <w:spacing w:before="0" w:beforeAutospacing="0" w:after="0" w:afterAutospacing="0"/>
        <w:ind w:firstLine="709"/>
        <w:jc w:val="both"/>
      </w:pPr>
      <w:r w:rsidRPr="00906EA7">
        <w:t>Администрацией города проведена комплексная работа по определению мест для обустройства площадок для мусорных контейнеров евростандарта. Организацией, осуществляющей вывоз твердых коммунальных отходов (ООО «Транссервис»), в 2019 году произведена установка 486 контейнеров евростандарта.</w:t>
      </w:r>
    </w:p>
    <w:p w:rsidR="001A028F" w:rsidRPr="00906EA7" w:rsidRDefault="001A028F" w:rsidP="0097253F">
      <w:pPr>
        <w:pStyle w:val="ae"/>
        <w:keepNext/>
        <w:widowControl w:val="0"/>
        <w:shd w:val="clear" w:color="auto" w:fill="FFFFFF"/>
        <w:spacing w:before="0" w:beforeAutospacing="0" w:after="0" w:afterAutospacing="0"/>
        <w:ind w:firstLine="709"/>
        <w:jc w:val="both"/>
      </w:pPr>
      <w:r w:rsidRPr="00906EA7">
        <w:t xml:space="preserve">Также в июне 2019 года из резервного фонда </w:t>
      </w:r>
      <w:r w:rsidR="00CF6160" w:rsidRPr="00906EA7">
        <w:t>П</w:t>
      </w:r>
      <w:r w:rsidRPr="00906EA7">
        <w:t>равительства автономного округа Мегиону выделены денежные средства в сумме 6 052 тыс. руб. на приобретение контейнеров для размещения на местах накопления твердых коммунальных отходов, за счет которых поставлено 445 контейнеров.</w:t>
      </w:r>
    </w:p>
    <w:p w:rsidR="001A028F" w:rsidRPr="00906EA7" w:rsidRDefault="001A028F" w:rsidP="0097253F">
      <w:pPr>
        <w:pStyle w:val="ae"/>
        <w:keepNext/>
        <w:widowControl w:val="0"/>
        <w:shd w:val="clear" w:color="auto" w:fill="FFFFFF"/>
        <w:spacing w:before="0" w:beforeAutospacing="0" w:after="0" w:afterAutospacing="0"/>
        <w:ind w:firstLine="709"/>
        <w:jc w:val="both"/>
      </w:pPr>
      <w:r w:rsidRPr="00906EA7">
        <w:t xml:space="preserve">Помимо этого, из резервного фонда </w:t>
      </w:r>
      <w:r w:rsidR="00CF6160" w:rsidRPr="00906EA7">
        <w:t>П</w:t>
      </w:r>
      <w:r w:rsidRPr="00906EA7">
        <w:t>равительства автономного округа городскому округу выделены денежные средства в сумме 9 798 тыс. руб. на обустройство мест (площадок) накопления твердых коммунальных отходов, за счет которых обустроено 87 контейнерных площадок.</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коммунальных отходов, что требует его утилизации (захоронения). </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rPr>
        <w:t xml:space="preserve">Хозяйственную деятельность на объекте «Полигон для размещения твердых коммунальных отходов» осуществляет общество с ограниченной ответственностью «Жилищно-коммунальное Автотранспортное Предприятие». Объем твердых коммунальных отходов, поступивших на санкционированную свалку в 2019 году от всех категорий потребителей, составил </w:t>
      </w:r>
      <w:r w:rsidRPr="00906EA7">
        <w:rPr>
          <w:rFonts w:ascii="Times New Roman" w:eastAsia="Calibri Light" w:hAnsi="Times New Roman" w:cs="Times New Roman"/>
          <w:sz w:val="24"/>
          <w:szCs w:val="24"/>
          <w:lang w:eastAsia="ru-RU"/>
        </w:rPr>
        <w:t>460 251,5 куб. м, что в 1,9 раз выше показателя 2018 года. Это обусловлено поступлением на полигон отходов, вывозимых с территории города Нижневартовска и Нижневартовского района.</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lastRenderedPageBreak/>
        <w:t>Результат финансово-хозяйственной деятельности по утилизации (захоронению) твердых коммунальных отходов характеризуется положительной динамикой.</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Так, общество с ограниченной ответственностью «Жилищно-коммунальное автотранспортное предприятие» от услуг по утилизации (захоронению) твердых коммунальных отходов получило прибыль в размере 7 081 тыс. руб.</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906EA7" w:rsidRDefault="004D7A86" w:rsidP="0097253F">
      <w:pPr>
        <w:widowControl w:val="0"/>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Calibri Light" w:hAnsi="Times New Roman" w:cs="Times New Roman"/>
          <w:sz w:val="24"/>
          <w:szCs w:val="24"/>
          <w:lang w:eastAsia="ru-RU"/>
        </w:rPr>
        <w:t>Показатели</w:t>
      </w:r>
      <w:r w:rsidRPr="00906EA7">
        <w:rPr>
          <w:rFonts w:ascii="Times New Roman" w:eastAsia="Times New Roman" w:hAnsi="Times New Roman" w:cs="Times New Roman"/>
          <w:sz w:val="24"/>
          <w:szCs w:val="24"/>
          <w:lang w:eastAsia="ru-RU"/>
        </w:rPr>
        <w:t xml:space="preserve"> утилизации (захоронения) твердых </w:t>
      </w:r>
      <w:r w:rsidR="007E1D3A" w:rsidRPr="00906EA7">
        <w:rPr>
          <w:rFonts w:ascii="Times New Roman" w:eastAsia="Times New Roman" w:hAnsi="Times New Roman" w:cs="Times New Roman"/>
          <w:sz w:val="24"/>
          <w:szCs w:val="24"/>
          <w:lang w:eastAsia="ru-RU"/>
        </w:rPr>
        <w:t>коммунальных</w:t>
      </w:r>
      <w:r w:rsidRPr="00906EA7">
        <w:rPr>
          <w:rFonts w:ascii="Times New Roman" w:eastAsia="Times New Roman" w:hAnsi="Times New Roman" w:cs="Times New Roman"/>
          <w:sz w:val="24"/>
          <w:szCs w:val="24"/>
          <w:lang w:eastAsia="ru-RU"/>
        </w:rPr>
        <w:t xml:space="preserve"> отходов</w:t>
      </w:r>
    </w:p>
    <w:p w:rsidR="00FB387D" w:rsidRPr="00906EA7" w:rsidRDefault="00FB387D" w:rsidP="0097253F">
      <w:pPr>
        <w:widowControl w:val="0"/>
        <w:spacing w:after="0" w:line="240" w:lineRule="auto"/>
        <w:ind w:firstLine="709"/>
        <w:jc w:val="center"/>
        <w:rPr>
          <w:rFonts w:ascii="Times New Roman" w:eastAsia="Times New Roman" w:hAnsi="Times New Roman" w:cs="Times New Roman"/>
          <w:sz w:val="24"/>
          <w:szCs w:val="24"/>
          <w:lang w:eastAsia="ru-RU"/>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9"/>
        <w:gridCol w:w="1276"/>
        <w:gridCol w:w="1418"/>
        <w:gridCol w:w="1417"/>
        <w:gridCol w:w="1418"/>
      </w:tblGrid>
      <w:tr w:rsidR="007E1D3A" w:rsidRPr="00906EA7" w:rsidTr="007E1D3A">
        <w:trPr>
          <w:trHeight w:val="409"/>
          <w:tblHeader/>
        </w:trPr>
        <w:tc>
          <w:tcPr>
            <w:tcW w:w="3999"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Показатели</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ед. изм.</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2017 год</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 xml:space="preserve">2018 год </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2019 год (оценка)</w:t>
            </w:r>
          </w:p>
        </w:tc>
      </w:tr>
      <w:tr w:rsidR="007E1D3A" w:rsidRPr="00906EA7" w:rsidTr="007E1D3A">
        <w:trPr>
          <w:trHeight w:val="42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Объем ТКО</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906EA7">
              <w:rPr>
                <w:rFonts w:ascii="Times New Roman" w:eastAsia="Calibri Light" w:hAnsi="Times New Roman" w:cs="Times New Roman"/>
                <w:sz w:val="20"/>
                <w:szCs w:val="20"/>
                <w:lang w:eastAsia="ru-RU"/>
              </w:rPr>
              <w:t>куб. м</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233 121,00</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243 225,30</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460 251,49</w:t>
            </w:r>
          </w:p>
        </w:tc>
      </w:tr>
      <w:tr w:rsidR="007E1D3A" w:rsidRPr="00906EA7" w:rsidTr="0097253F">
        <w:trPr>
          <w:trHeight w:val="506"/>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Затраты по содержанию полигона утилизации ТКО</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тыс. руб.</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15 482,11</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19</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324,90</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42</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456</w:t>
            </w:r>
          </w:p>
        </w:tc>
      </w:tr>
      <w:tr w:rsidR="007E1D3A" w:rsidRPr="00906EA7" w:rsidTr="007E1D3A">
        <w:trPr>
          <w:trHeight w:val="37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Доходы</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тыс. руб.</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20</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384,32</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28</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570,60</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49</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537</w:t>
            </w:r>
          </w:p>
        </w:tc>
      </w:tr>
      <w:tr w:rsidR="007E1D3A" w:rsidRPr="00906EA7" w:rsidTr="007E1D3A">
        <w:trPr>
          <w:trHeight w:val="37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Прибыль</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тыс. руб.</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4</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902,21</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9</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245,70</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7</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081,00</w:t>
            </w:r>
          </w:p>
        </w:tc>
      </w:tr>
      <w:tr w:rsidR="007E1D3A" w:rsidRPr="00906EA7" w:rsidTr="007E1D3A">
        <w:trPr>
          <w:trHeight w:val="37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906EA7">
              <w:rPr>
                <w:rFonts w:ascii="Times New Roman" w:eastAsia="Calibri Light" w:hAnsi="Times New Roman" w:cs="Times New Roman"/>
                <w:bCs/>
                <w:sz w:val="24"/>
                <w:szCs w:val="24"/>
                <w:lang w:eastAsia="ru-RU"/>
              </w:rPr>
              <w:t>Установленный тариф</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906EA7">
              <w:rPr>
                <w:rFonts w:ascii="Times New Roman" w:eastAsia="Calibri Light" w:hAnsi="Times New Roman" w:cs="Times New Roman"/>
                <w:bCs/>
                <w:sz w:val="20"/>
                <w:szCs w:val="20"/>
                <w:lang w:eastAsia="ru-RU"/>
              </w:rPr>
              <w:t>руб/куб.м</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90,66</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116,92</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107,63</w:t>
            </w:r>
          </w:p>
        </w:tc>
      </w:tr>
      <w:tr w:rsidR="007E1D3A" w:rsidRPr="00906EA7" w:rsidTr="007E1D3A">
        <w:trPr>
          <w:trHeight w:val="37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906EA7">
              <w:rPr>
                <w:rFonts w:ascii="Times New Roman" w:eastAsia="Calibri Light" w:hAnsi="Times New Roman" w:cs="Times New Roman"/>
                <w:bCs/>
                <w:sz w:val="24"/>
                <w:szCs w:val="24"/>
                <w:lang w:eastAsia="ru-RU"/>
              </w:rPr>
              <w:t>Установленный тариф</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906EA7">
              <w:rPr>
                <w:rFonts w:ascii="Times New Roman" w:eastAsia="Calibri Light" w:hAnsi="Times New Roman" w:cs="Times New Roman"/>
                <w:bCs/>
                <w:sz w:val="20"/>
                <w:szCs w:val="20"/>
                <w:lang w:eastAsia="ru-RU"/>
              </w:rPr>
              <w:t>руб/тонну</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1 118,32</w:t>
            </w:r>
          </w:p>
        </w:tc>
      </w:tr>
    </w:tbl>
    <w:p w:rsidR="004D7A86" w:rsidRPr="00906EA7" w:rsidRDefault="004D7A86" w:rsidP="0097253F">
      <w:pPr>
        <w:widowControl w:val="0"/>
        <w:spacing w:after="0" w:line="240" w:lineRule="auto"/>
        <w:ind w:firstLine="709"/>
        <w:jc w:val="center"/>
        <w:rPr>
          <w:rFonts w:ascii="Times New Roman" w:eastAsia="Times New Roman" w:hAnsi="Times New Roman" w:cs="Times New Roman"/>
          <w:b/>
          <w:sz w:val="24"/>
          <w:szCs w:val="24"/>
          <w:lang w:eastAsia="ru-RU"/>
        </w:rPr>
      </w:pPr>
    </w:p>
    <w:p w:rsidR="007E1D3A" w:rsidRPr="00906EA7" w:rsidRDefault="007E1D3A"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7E1D3A" w:rsidRPr="00906EA7" w:rsidRDefault="007E1D3A"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После строительства нового комплексного межмуниципального полигона для захоронения (утилизации) отходов планируется закрытие санкционированной свалки, расположенной вблизи </w:t>
      </w:r>
      <w:r w:rsidR="00CF6160" w:rsidRPr="00906EA7">
        <w:rPr>
          <w:rFonts w:ascii="Times New Roman" w:eastAsia="Calibri Light" w:hAnsi="Times New Roman" w:cs="Times New Roman"/>
          <w:sz w:val="24"/>
          <w:szCs w:val="24"/>
        </w:rPr>
        <w:t>пгт</w:t>
      </w:r>
      <w:r w:rsidRPr="00906EA7">
        <w:rPr>
          <w:rFonts w:ascii="Times New Roman" w:eastAsia="Calibri Light" w:hAnsi="Times New Roman" w:cs="Times New Roman"/>
          <w:sz w:val="24"/>
          <w:szCs w:val="24"/>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Ханты-Мансийского автономного округа – Югры «Экологическая безопасность» за счет внебюджетных источников.</w:t>
      </w:r>
    </w:p>
    <w:p w:rsidR="00372C3F" w:rsidRPr="00906EA7" w:rsidRDefault="00372C3F" w:rsidP="0097253F">
      <w:pPr>
        <w:spacing w:after="0" w:line="240" w:lineRule="auto"/>
        <w:ind w:firstLine="708"/>
        <w:rPr>
          <w:rFonts w:ascii="Times New Roman" w:eastAsia="Calibri Light" w:hAnsi="Times New Roman" w:cs="Times New Roman"/>
          <w:sz w:val="24"/>
          <w:szCs w:val="24"/>
        </w:rPr>
      </w:pPr>
    </w:p>
    <w:p w:rsidR="00DA602C" w:rsidRPr="00906EA7" w:rsidRDefault="00DA602C" w:rsidP="0097253F">
      <w:pPr>
        <w:spacing w:after="0" w:line="240" w:lineRule="auto"/>
        <w:ind w:firstLine="708"/>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АГРОПРОМЫШЛЕННЫЙ КОМПЛЕКС</w:t>
      </w:r>
    </w:p>
    <w:p w:rsidR="005D6A84" w:rsidRPr="00906EA7" w:rsidRDefault="005D6A84" w:rsidP="0097253F">
      <w:pPr>
        <w:spacing w:after="0" w:line="240" w:lineRule="auto"/>
        <w:rPr>
          <w:rFonts w:ascii="Times New Roman" w:eastAsia="Calibri Light" w:hAnsi="Times New Roman" w:cs="Times New Roman"/>
          <w:sz w:val="24"/>
          <w:szCs w:val="24"/>
        </w:rPr>
      </w:pPr>
    </w:p>
    <w:p w:rsidR="00FE67AF" w:rsidRPr="00906EA7" w:rsidRDefault="00FE67A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FE67AF" w:rsidRPr="00906EA7" w:rsidRDefault="00FE67AF" w:rsidP="0097253F">
      <w:pPr>
        <w:autoSpaceDE w:val="0"/>
        <w:autoSpaceDN w:val="0"/>
        <w:adjustRightInd w:val="0"/>
        <w:spacing w:after="0" w:line="240" w:lineRule="auto"/>
        <w:ind w:firstLine="709"/>
        <w:jc w:val="both"/>
        <w:rPr>
          <w:rFonts w:ascii="Times New Roman" w:hAnsi="Times New Roman" w:cs="Times New Roman"/>
          <w:sz w:val="24"/>
          <w:szCs w:val="24"/>
        </w:rPr>
      </w:pPr>
      <w:r w:rsidRPr="00906EA7">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Ханты-Мансийского автономного округа – Югры </w:t>
      </w:r>
      <w:r w:rsidRPr="00906EA7">
        <w:rPr>
          <w:rFonts w:ascii="Times New Roman" w:hAnsi="Times New Roman" w:cs="Times New Roman"/>
          <w:sz w:val="24"/>
          <w:szCs w:val="24"/>
        </w:rPr>
        <w:t xml:space="preserve">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законом Ханты-Мансийского автономного округа </w:t>
      </w:r>
      <w:r w:rsidRPr="00906EA7">
        <w:rPr>
          <w:rFonts w:ascii="Times New Roman" w:eastAsia="Calibri Light" w:hAnsi="Times New Roman" w:cs="Times New Roman"/>
          <w:sz w:val="24"/>
          <w:szCs w:val="24"/>
        </w:rPr>
        <w:t>–</w:t>
      </w:r>
      <w:r w:rsidRPr="00906EA7">
        <w:rPr>
          <w:rFonts w:ascii="Times New Roman" w:hAnsi="Times New Roman" w:cs="Times New Roman"/>
          <w:sz w:val="24"/>
          <w:szCs w:val="24"/>
        </w:rPr>
        <w:t xml:space="preserve"> Югры от 16.12.2010 №228-оз «О наделении органов местного самоуправления муниципальных образований Ханты-Мансийского автономного округа </w:t>
      </w:r>
      <w:r w:rsidRPr="00906EA7">
        <w:rPr>
          <w:rFonts w:ascii="Times New Roman" w:eastAsia="Calibri Light" w:hAnsi="Times New Roman" w:cs="Times New Roman"/>
          <w:sz w:val="24"/>
          <w:szCs w:val="24"/>
        </w:rPr>
        <w:t>–</w:t>
      </w:r>
      <w:r w:rsidRPr="00906EA7">
        <w:rPr>
          <w:rFonts w:ascii="Times New Roman" w:hAnsi="Times New Roman" w:cs="Times New Roman"/>
          <w:sz w:val="24"/>
          <w:szCs w:val="24"/>
        </w:rPr>
        <w:t xml:space="preserve">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FE67AF" w:rsidRPr="00906EA7" w:rsidRDefault="00FE67AF"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За отчетный период проведено 84 ярмарки, из них 1 специализированная. Для прямого сбыта товаров отечественной продукции сельхозтоваропроизводителей, в том числе </w:t>
      </w:r>
      <w:r w:rsidRPr="00906EA7">
        <w:rPr>
          <w:rFonts w:ascii="Times New Roman" w:eastAsia="Calibri" w:hAnsi="Times New Roman" w:cs="Times New Roman"/>
          <w:sz w:val="24"/>
          <w:szCs w:val="24"/>
        </w:rPr>
        <w:lastRenderedPageBreak/>
        <w:t>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городского округа в местах повышенной проходимости действуют 1 торговая площадка на прилегающей территории к торговому комплексу «Купец и К».</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По состоянию на 01.01.2020 осуществляли сельскохозяйственную деятельность 4 сельхозтоваропроизводителя, в том числе 3 крестьянских (фермерских) хозяйства. По сравнению с 2018 годом количество товаропроизводителей не изменилось.</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В похозяйственной книге зарегистрировано </w:t>
      </w:r>
      <w:r w:rsidRPr="00906EA7">
        <w:rPr>
          <w:rFonts w:ascii="Times New Roman" w:eastAsia="Calibri" w:hAnsi="Times New Roman" w:cs="Times New Roman"/>
          <w:sz w:val="24"/>
          <w:szCs w:val="24"/>
          <w:shd w:val="clear" w:color="auto" w:fill="FFFFFF"/>
        </w:rPr>
        <w:t>4 личных</w:t>
      </w:r>
      <w:r w:rsidRPr="00906EA7">
        <w:rPr>
          <w:rFonts w:ascii="Times New Roman" w:eastAsia="Calibri" w:hAnsi="Times New Roman" w:cs="Times New Roman"/>
          <w:sz w:val="24"/>
          <w:szCs w:val="24"/>
        </w:rPr>
        <w:t xml:space="preserve"> подсобных хозяйства. По сравнению с 2018 годом количество хозяйств не изменилось. </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Основным направлением деятельности сельскохозяйственных предприятий является животноводство.</w:t>
      </w:r>
    </w:p>
    <w:p w:rsidR="00FE67AF" w:rsidRPr="00906EA7" w:rsidRDefault="00FE67AF"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рамках переданного государственного полномочия по поддержке сельскохозяйственного производства и деятельности по заготовке и переработке дикоросов за государственной поддержкой в виде субсидий обратились 2 сельхозтоваропроизводителя.</w:t>
      </w:r>
    </w:p>
    <w:p w:rsidR="00FE67AF" w:rsidRPr="00906EA7" w:rsidRDefault="00FE67AF"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В крестьянском (фермерском) хозяйстве численность поголовья крупного рогатого скота составила 37 голов. Производство молока в 2019 году составило 67,5 тонн, а производство скота </w:t>
      </w:r>
      <w:r w:rsidRPr="00906EA7">
        <w:rPr>
          <w:rFonts w:ascii="Times New Roman" w:hAnsi="Times New Roman" w:cs="Times New Roman"/>
          <w:sz w:val="24"/>
          <w:szCs w:val="24"/>
        </w:rPr>
        <w:t>–</w:t>
      </w:r>
      <w:r w:rsidRPr="00906EA7">
        <w:rPr>
          <w:rFonts w:ascii="Times New Roman" w:eastAsia="Calibri" w:hAnsi="Times New Roman" w:cs="Times New Roman"/>
          <w:sz w:val="24"/>
          <w:szCs w:val="24"/>
        </w:rPr>
        <w:t xml:space="preserve"> 1,2 тонны.</w:t>
      </w:r>
    </w:p>
    <w:p w:rsidR="00FE67AF" w:rsidRPr="00906EA7" w:rsidRDefault="00FE67AF" w:rsidP="0097253F">
      <w:pPr>
        <w:spacing w:after="0" w:line="240" w:lineRule="auto"/>
        <w:ind w:firstLine="709"/>
        <w:jc w:val="both"/>
        <w:rPr>
          <w:rFonts w:ascii="Times New Roman CYR" w:eastAsia="Times New Roman" w:hAnsi="Times New Roman CYR" w:cs="Times New Roman CYR"/>
          <w:sz w:val="24"/>
          <w:szCs w:val="24"/>
          <w:lang w:eastAsia="ru-RU"/>
        </w:rPr>
      </w:pPr>
      <w:r w:rsidRPr="00906EA7">
        <w:rPr>
          <w:rFonts w:ascii="Times New Roman CYR" w:eastAsia="Times New Roman" w:hAnsi="Times New Roman CYR" w:cs="Times New Roman CYR"/>
          <w:sz w:val="24"/>
          <w:szCs w:val="24"/>
          <w:lang w:eastAsia="ru-RU"/>
        </w:rPr>
        <w:t xml:space="preserve">Из бюджета автономного округа </w:t>
      </w:r>
      <w:r w:rsidRPr="00906EA7">
        <w:rPr>
          <w:rFonts w:ascii="Times New Roman" w:eastAsia="Times New Roman" w:hAnsi="Times New Roman" w:cs="Times New Roman"/>
          <w:sz w:val="24"/>
          <w:szCs w:val="24"/>
          <w:lang w:eastAsia="ru-RU"/>
        </w:rPr>
        <w:t xml:space="preserve">сельхозтоваропроизводителям, в том числе </w:t>
      </w:r>
      <w:r w:rsidRPr="00906EA7">
        <w:rPr>
          <w:rFonts w:ascii="Times New Roman CYR" w:eastAsia="Times New Roman" w:hAnsi="Times New Roman CYR" w:cs="Times New Roman CYR"/>
          <w:sz w:val="24"/>
          <w:szCs w:val="24"/>
          <w:lang w:eastAsia="ru-RU"/>
        </w:rPr>
        <w:t xml:space="preserve">крестьянским (фермерским) хозяйствам, оказана государственная поддержка в виде субсидий в сумме </w:t>
      </w:r>
      <w:r w:rsidRPr="00906EA7">
        <w:rPr>
          <w:rFonts w:ascii="Times New Roman" w:eastAsia="Calibri" w:hAnsi="Times New Roman" w:cs="Times New Roman"/>
          <w:sz w:val="24"/>
          <w:szCs w:val="24"/>
          <w:lang w:eastAsia="ru-RU"/>
        </w:rPr>
        <w:t xml:space="preserve">10,84 млн </w:t>
      </w:r>
      <w:r w:rsidRPr="00906EA7">
        <w:rPr>
          <w:rFonts w:ascii="Times New Roman CYR" w:eastAsia="Times New Roman" w:hAnsi="Times New Roman CYR" w:cs="Times New Roman CYR"/>
          <w:sz w:val="24"/>
          <w:szCs w:val="24"/>
          <w:lang w:eastAsia="ru-RU"/>
        </w:rPr>
        <w:t xml:space="preserve">руб., что на 88,87% больше, чем в 2018 году (5,74 млн руб.). </w:t>
      </w:r>
    </w:p>
    <w:p w:rsidR="00FE67AF" w:rsidRPr="00906EA7" w:rsidRDefault="00FE67AF" w:rsidP="0097253F">
      <w:pPr>
        <w:spacing w:after="0" w:line="240" w:lineRule="auto"/>
        <w:ind w:firstLine="709"/>
        <w:jc w:val="both"/>
        <w:rPr>
          <w:rFonts w:ascii="Times New Roman CYR" w:eastAsia="Times New Roman" w:hAnsi="Times New Roman CYR" w:cs="Times New Roman CYR"/>
          <w:sz w:val="24"/>
          <w:szCs w:val="24"/>
          <w:lang w:eastAsia="ru-RU"/>
        </w:rPr>
      </w:pPr>
      <w:r w:rsidRPr="00906EA7">
        <w:rPr>
          <w:rFonts w:ascii="Times New Roman CYR" w:eastAsia="Times New Roman" w:hAnsi="Times New Roman CYR" w:cs="Times New Roman CYR"/>
          <w:sz w:val="24"/>
          <w:szCs w:val="24"/>
          <w:lang w:eastAsia="ru-RU"/>
        </w:rPr>
        <w:t>Изменение финансовой поддержки связано с увеличением плановых объемов субсидий на 2019 го</w:t>
      </w:r>
      <w:r w:rsidRPr="00906EA7">
        <w:rPr>
          <w:rFonts w:ascii="Times New Roman" w:eastAsia="Times New Roman" w:hAnsi="Times New Roman" w:cs="Times New Roman"/>
          <w:sz w:val="24"/>
          <w:szCs w:val="24"/>
          <w:lang w:eastAsia="ru-RU"/>
        </w:rPr>
        <w:t>д по подпрограмме 3 «Поддержка рыбохозяйственного комплекса», основное мероприятие 3.1. «Государственная поддержка развития рыбохозяйственного комплекса, рыболовства и производства рыбной продукции» государственной программы Ханты-Мансийского автономного округа - Югры «Развитие агропромышленного комплекса».</w:t>
      </w:r>
    </w:p>
    <w:p w:rsidR="00FE67AF" w:rsidRPr="00906EA7" w:rsidRDefault="00FE67A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w:hAnsi="Times New Roman" w:cs="Times New Roman"/>
          <w:sz w:val="24"/>
          <w:szCs w:val="24"/>
        </w:rPr>
        <w:t>В рамках муниципальной программы «Поддержка и развитие малого и среднего предпринимательства на территории городского округа город Мегион на 2019-2025 годы»           1 сельхозтоваропроизводитель получил финансовую помощь в сумме 9,660 тыс. руб. на приобретение оборудования.</w:t>
      </w:r>
    </w:p>
    <w:p w:rsidR="00434710" w:rsidRPr="00906EA7" w:rsidRDefault="00434710" w:rsidP="0097253F">
      <w:pPr>
        <w:spacing w:after="0" w:line="240" w:lineRule="auto"/>
        <w:rPr>
          <w:rFonts w:ascii="Times New Roman" w:eastAsia="Calibri Light" w:hAnsi="Times New Roman" w:cs="Times New Roman"/>
          <w:sz w:val="24"/>
          <w:szCs w:val="24"/>
        </w:rPr>
      </w:pPr>
    </w:p>
    <w:p w:rsidR="001525B2" w:rsidRPr="00906EA7" w:rsidRDefault="001525B2" w:rsidP="0097253F">
      <w:pPr>
        <w:widowControl w:val="0"/>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ПОТРЕБИТЕЛЬСКИЙ РЫНОК</w:t>
      </w:r>
    </w:p>
    <w:p w:rsidR="001525B2" w:rsidRPr="00906EA7" w:rsidRDefault="001525B2" w:rsidP="0097253F">
      <w:pPr>
        <w:widowControl w:val="0"/>
        <w:spacing w:after="0" w:line="240" w:lineRule="auto"/>
        <w:ind w:firstLine="708"/>
        <w:jc w:val="both"/>
        <w:rPr>
          <w:rFonts w:ascii="Times New Roman" w:eastAsia="Calibri Light" w:hAnsi="Times New Roman" w:cs="Times New Roman"/>
          <w:sz w:val="24"/>
          <w:szCs w:val="24"/>
        </w:rPr>
      </w:pP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 состоянию на 01.01.2020 года на территории городского округа город Мегион расположено 230 объектов розничной торговли (магазины – 193 ед., киоски – 2 ед., павильоны - 35 ед.), торговой площадью 39,9 тыс. кв. м. </w:t>
      </w:r>
    </w:p>
    <w:p w:rsidR="006E3591" w:rsidRPr="00906EA7" w:rsidRDefault="006E3591" w:rsidP="0097253F">
      <w:pPr>
        <w:widowControl w:val="0"/>
        <w:spacing w:after="0" w:line="240" w:lineRule="auto"/>
        <w:ind w:firstLine="720"/>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городе работают 19 федеральных и региональных сетевых компаний: «Монетка», «Оптима», «Красное и белое», «Любимый», «Пятерочка», «Светофор», «Связной», «Золото 585», «</w:t>
      </w:r>
      <w:r w:rsidRPr="00906EA7">
        <w:rPr>
          <w:rFonts w:ascii="Times New Roman" w:eastAsia="Calibri Light" w:hAnsi="Times New Roman" w:cs="Times New Roman"/>
          <w:sz w:val="24"/>
          <w:szCs w:val="24"/>
          <w:lang w:val="en-US"/>
        </w:rPr>
        <w:t>DNS</w:t>
      </w:r>
      <w:r w:rsidRPr="00906EA7">
        <w:rPr>
          <w:rFonts w:ascii="Times New Roman" w:eastAsia="Calibri Light" w:hAnsi="Times New Roman" w:cs="Times New Roman"/>
          <w:sz w:val="24"/>
          <w:szCs w:val="24"/>
        </w:rPr>
        <w:t>», «Rieker», «Магнит», «Парфюм-Лидер», «ГалаМарт» и другие, реализующие продовольственные и непродовольственные товары.</w:t>
      </w:r>
    </w:p>
    <w:p w:rsidR="006E3591" w:rsidRPr="00906EA7" w:rsidRDefault="006E3591"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На долю современных форматов торговых объектов площадью более 400 кв. м, приходится 63% торговой площади. </w:t>
      </w:r>
    </w:p>
    <w:p w:rsidR="006E3591" w:rsidRPr="00906EA7" w:rsidRDefault="006E3591"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На долю торговых объектов сетевых операторов приходится 31%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6E3591" w:rsidRPr="00906EA7" w:rsidRDefault="006E3591" w:rsidP="0097253F">
      <w:pPr>
        <w:spacing w:after="0" w:line="240" w:lineRule="auto"/>
        <w:ind w:firstLine="720"/>
        <w:jc w:val="both"/>
        <w:rPr>
          <w:rFonts w:ascii="Times New Roman" w:eastAsia="Calibri Light" w:hAnsi="Times New Roman" w:cs="Times New Roman"/>
          <w:sz w:val="24"/>
          <w:szCs w:val="24"/>
        </w:rPr>
      </w:pPr>
      <w:r w:rsidRPr="00906EA7">
        <w:rPr>
          <w:rFonts w:ascii="Times New Roman" w:eastAsia="Calibri" w:hAnsi="Times New Roman" w:cs="Times New Roman"/>
          <w:sz w:val="24"/>
          <w:szCs w:val="24"/>
        </w:rPr>
        <w:t xml:space="preserve">В городском округе функционирует 37 нестационарных торговых объектов, в том числе 35 павильонов, 1 киоск, 1 мобильный объект.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lastRenderedPageBreak/>
        <w:t xml:space="preserve">Сегодня на потребительском рынке городского округа город Мегион преобладающей формой является частная форма собственности. Оборот розничной торговли, полученный через все каналы реализации, за 2019 </w:t>
      </w:r>
      <w:r w:rsidR="00753164" w:rsidRPr="00906EA7">
        <w:rPr>
          <w:rFonts w:ascii="Times New Roman" w:eastAsia="Calibri Light" w:hAnsi="Times New Roman" w:cs="Times New Roman"/>
          <w:sz w:val="24"/>
          <w:szCs w:val="24"/>
        </w:rPr>
        <w:t>год составил 10 615,3 млн руб.</w:t>
      </w:r>
      <w:r w:rsidRPr="00906EA7">
        <w:rPr>
          <w:rFonts w:ascii="Times New Roman" w:eastAsia="Calibri Light" w:hAnsi="Times New Roman" w:cs="Times New Roman"/>
          <w:sz w:val="24"/>
          <w:szCs w:val="24"/>
        </w:rPr>
        <w:t xml:space="preserve">, что в действующих ценах на 0,9% выше объема аналогичного периода 2018 года.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структуре товарооборота за отчетный период 2019 года удельный вес продовольственных товаров составляет более 50,0%.</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Оборот розничной торговли городского округа город Мегион за январь-декабрь 2019 года в расчете на душу насе</w:t>
      </w:r>
      <w:r w:rsidR="00753164" w:rsidRPr="00906EA7">
        <w:rPr>
          <w:rFonts w:ascii="Times New Roman" w:eastAsia="Calibri Light" w:hAnsi="Times New Roman" w:cs="Times New Roman"/>
          <w:sz w:val="24"/>
          <w:szCs w:val="24"/>
        </w:rPr>
        <w:t>ления составил 196,6 тыс. руб.</w:t>
      </w:r>
      <w:r w:rsidRPr="00906EA7">
        <w:rPr>
          <w:rFonts w:ascii="Times New Roman" w:eastAsia="Calibri Light" w:hAnsi="Times New Roman" w:cs="Times New Roman"/>
          <w:sz w:val="24"/>
          <w:szCs w:val="24"/>
        </w:rPr>
        <w:t xml:space="preserve">, что на 1,7% выше   аналогичного периода 2018 года.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Обеспеченность населения городского округа город Мегион торговыми площадями по состоянию на 01.01.2020 составила 166,8% к нормативу.</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Сеть организаций общественного питания представлена в городе такими формами</w:t>
      </w:r>
      <w:r w:rsidR="00E02271" w:rsidRPr="00906EA7">
        <w:rPr>
          <w:rFonts w:ascii="Times New Roman" w:eastAsia="Calibri Light" w:hAnsi="Times New Roman" w:cs="Times New Roman"/>
          <w:sz w:val="24"/>
          <w:szCs w:val="24"/>
        </w:rPr>
        <w:t>,</w:t>
      </w:r>
      <w:r w:rsidRPr="00906EA7">
        <w:rPr>
          <w:rFonts w:ascii="Times New Roman" w:eastAsia="Calibri Light" w:hAnsi="Times New Roman" w:cs="Times New Roman"/>
          <w:sz w:val="24"/>
          <w:szCs w:val="24"/>
        </w:rPr>
        <w:t xml:space="preserve"> как кафе, столовые, рестораны.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Оборот общественного питания за январь-декабрь 2019 </w:t>
      </w:r>
      <w:r w:rsidR="00753164" w:rsidRPr="00906EA7">
        <w:rPr>
          <w:rFonts w:ascii="Times New Roman" w:eastAsia="Calibri Light" w:hAnsi="Times New Roman" w:cs="Times New Roman"/>
          <w:sz w:val="24"/>
          <w:szCs w:val="24"/>
        </w:rPr>
        <w:t>года составил 2 294,5 млн руб.</w:t>
      </w:r>
      <w:r w:rsidRPr="00906EA7">
        <w:rPr>
          <w:rFonts w:ascii="Times New Roman" w:eastAsia="Calibri Light" w:hAnsi="Times New Roman" w:cs="Times New Roman"/>
          <w:sz w:val="24"/>
          <w:szCs w:val="24"/>
        </w:rPr>
        <w:t>, и увеличился по сравнению с аналогичным периодом 2018 года на 1,0% в действующих ценах. По состоянию на 01.01.2020 в городе работает 96 предприятий общественного питания на 5019 посадочных мест, в том числе по видам:</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рестораны – 1 ед., 60 пос. мест;</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кафе – 31 ед., 1949 пос. мест;</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бары – 21 ед., 426 пос. места;</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иные (буфеты, закусочные, магазины-кулинарии) – 22 ед., 252 пос. мест;</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столовые – 21 ед., 2332 пос. мест, из них школьные столовые – 10 ед., 1836 пос. мест.</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За январь-декабрь 2019 года оборот общественного питания в расчете на душу нас</w:t>
      </w:r>
      <w:r w:rsidR="00753164" w:rsidRPr="00906EA7">
        <w:rPr>
          <w:rFonts w:ascii="Times New Roman" w:eastAsia="Calibri Light" w:hAnsi="Times New Roman" w:cs="Times New Roman"/>
          <w:sz w:val="24"/>
          <w:szCs w:val="24"/>
        </w:rPr>
        <w:t>еления составил 42,5 тыс. руб.</w:t>
      </w:r>
      <w:r w:rsidRPr="00906EA7">
        <w:rPr>
          <w:rFonts w:ascii="Times New Roman" w:eastAsia="Calibri Light" w:hAnsi="Times New Roman" w:cs="Times New Roman"/>
          <w:sz w:val="24"/>
          <w:szCs w:val="24"/>
        </w:rPr>
        <w:t xml:space="preserve"> против 41,7 тыс. руб</w:t>
      </w:r>
      <w:r w:rsidR="00753164" w:rsidRPr="00906EA7">
        <w:rPr>
          <w:rFonts w:ascii="Times New Roman" w:eastAsia="Calibri Light" w:hAnsi="Times New Roman" w:cs="Times New Roman"/>
          <w:sz w:val="24"/>
          <w:szCs w:val="24"/>
        </w:rPr>
        <w:t>.</w:t>
      </w:r>
      <w:r w:rsidRPr="00906EA7">
        <w:rPr>
          <w:rFonts w:ascii="Times New Roman" w:eastAsia="Calibri Light" w:hAnsi="Times New Roman" w:cs="Times New Roman"/>
          <w:sz w:val="24"/>
          <w:szCs w:val="24"/>
        </w:rPr>
        <w:t xml:space="preserve"> в январе-декабре 2018 года.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Помимо торговли и общественного питания, потребительский рынок насыщают также платные услуги.</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Объем платных услуг за 2018 год, оказанных населению городского округа город Ме</w:t>
      </w:r>
      <w:r w:rsidR="00753164" w:rsidRPr="00906EA7">
        <w:rPr>
          <w:rFonts w:ascii="Times New Roman" w:eastAsia="Calibri Light" w:hAnsi="Times New Roman" w:cs="Times New Roman"/>
          <w:sz w:val="24"/>
          <w:szCs w:val="24"/>
        </w:rPr>
        <w:t>гион составил 3 945,9 млн руб.</w:t>
      </w:r>
      <w:r w:rsidRPr="00906EA7">
        <w:rPr>
          <w:rFonts w:ascii="Times New Roman" w:eastAsia="Calibri Light" w:hAnsi="Times New Roman" w:cs="Times New Roman"/>
          <w:sz w:val="24"/>
          <w:szCs w:val="24"/>
        </w:rPr>
        <w:t>, или 100,3% к аналогичному периоду 2018 года. Более 50% объема платных услуг в январе-декабре 2019 года формировался крупными и средними организациями.</w:t>
      </w:r>
    </w:p>
    <w:p w:rsidR="00D36F70" w:rsidRPr="00906EA7" w:rsidRDefault="00D36F70" w:rsidP="0097253F">
      <w:pPr>
        <w:pStyle w:val="ae"/>
        <w:spacing w:before="0" w:beforeAutospacing="0" w:after="0" w:afterAutospacing="0"/>
        <w:ind w:firstLine="709"/>
        <w:jc w:val="both"/>
        <w:rPr>
          <w:rFonts w:eastAsia="Calibri Light"/>
          <w:lang w:eastAsia="en-US"/>
        </w:rPr>
      </w:pPr>
      <w:r w:rsidRPr="00906EA7">
        <w:rPr>
          <w:rFonts w:eastAsia="Calibri Light"/>
          <w:lang w:eastAsia="en-US"/>
        </w:rPr>
        <w:t>Структура платных услуг населению в отчетном периоде не изменилась, по-прежнему преобладающую долю занимают такие виды услуг как: жилищно-коммунальные, медицинские, услуги связи, транспортные и бытовые услуги.</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Каждому жителю города за отчетный период было оказано платных усл</w:t>
      </w:r>
      <w:r w:rsidR="00753164" w:rsidRPr="00906EA7">
        <w:rPr>
          <w:rFonts w:ascii="Times New Roman" w:eastAsia="Calibri Light" w:hAnsi="Times New Roman" w:cs="Times New Roman"/>
          <w:sz w:val="24"/>
          <w:szCs w:val="24"/>
        </w:rPr>
        <w:t>уг в среднем на 73,1 тыс. руб</w:t>
      </w:r>
      <w:r w:rsidRPr="00906EA7">
        <w:rPr>
          <w:rFonts w:ascii="Times New Roman" w:eastAsia="Calibri Light" w:hAnsi="Times New Roman" w:cs="Times New Roman"/>
          <w:sz w:val="24"/>
          <w:szCs w:val="24"/>
        </w:rPr>
        <w:t xml:space="preserve">.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Сохраняется спрос на бытовые услуги. По состоянию на 01.01.2020 бытовые услуги на территории городского округа город Мегион оказывали 141 предприятие (без учета станций технического обслуживания). Индивидуальные предприниматели доминируют на рынке бытовых услуг.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Объем бытовых услуг за январь-декабрь 201</w:t>
      </w:r>
      <w:r w:rsidR="00753164" w:rsidRPr="00906EA7">
        <w:rPr>
          <w:rFonts w:ascii="Times New Roman" w:eastAsia="Calibri Light" w:hAnsi="Times New Roman" w:cs="Times New Roman"/>
          <w:sz w:val="24"/>
          <w:szCs w:val="24"/>
        </w:rPr>
        <w:t>9 года составил 250,8 млн руб.</w:t>
      </w:r>
      <w:r w:rsidRPr="00906EA7">
        <w:rPr>
          <w:rFonts w:ascii="Times New Roman" w:eastAsia="Calibri Light" w:hAnsi="Times New Roman" w:cs="Times New Roman"/>
          <w:sz w:val="24"/>
          <w:szCs w:val="24"/>
        </w:rPr>
        <w:t xml:space="preserve">, что в действующих ценах на 1,8% выше уровня аналогичного периода 2018 года.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расчете на одного жителя города объем бытовых услуг за отчетный</w:t>
      </w:r>
      <w:r w:rsidR="00753164" w:rsidRPr="00906EA7">
        <w:rPr>
          <w:rFonts w:ascii="Times New Roman" w:eastAsia="Calibri Light" w:hAnsi="Times New Roman" w:cs="Times New Roman"/>
          <w:sz w:val="24"/>
          <w:szCs w:val="24"/>
        </w:rPr>
        <w:t xml:space="preserve"> период составил 4,6 тыс. руб</w:t>
      </w:r>
      <w:r w:rsidRPr="00906EA7">
        <w:rPr>
          <w:rFonts w:ascii="Times New Roman" w:eastAsia="Calibri Light" w:hAnsi="Times New Roman" w:cs="Times New Roman"/>
          <w:sz w:val="24"/>
          <w:szCs w:val="24"/>
        </w:rPr>
        <w:t>.</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Из общего объема бытовых услуг наибольшим спросом пользуются услуги парикмахерских, фотоателье, пошив и изготовление одежды.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Наиболее неразвитыми остаются виды бытовых услуг: услуги проката, услуги прачечных самообслуживания, ремонт телефонных аппаратов, ремонт сумок, зонтов и прочих галантерейных изделий, ремонт швейного оборудования, мебели, уборка квартир, уход за больными, престарелыми и инвалидами, услуги нянь, производство трикотажных изделий.</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Основными направлениями развития потребительского рынка на 2020 год является создание условий для удовлетворения спроса населения на потребительские товары и услуги, </w:t>
      </w:r>
      <w:r w:rsidRPr="00906EA7">
        <w:rPr>
          <w:rFonts w:ascii="Times New Roman" w:eastAsia="Calibri Light" w:hAnsi="Times New Roman" w:cs="Times New Roman"/>
          <w:sz w:val="24"/>
          <w:szCs w:val="24"/>
        </w:rPr>
        <w:lastRenderedPageBreak/>
        <w:t>совершенствование инфраструктуры потребительского рынка, обеспечение доступа к товарам и услугам всех социальных групп населения городского округа город Мегион.</w:t>
      </w:r>
    </w:p>
    <w:p w:rsidR="005A2708" w:rsidRPr="00906EA7" w:rsidRDefault="005A2708" w:rsidP="0097253F">
      <w:pPr>
        <w:widowControl w:val="0"/>
        <w:tabs>
          <w:tab w:val="left" w:pos="709"/>
        </w:tabs>
        <w:spacing w:after="0" w:line="240" w:lineRule="auto"/>
        <w:rPr>
          <w:rFonts w:ascii="Times New Roman" w:eastAsia="Calibri" w:hAnsi="Times New Roman" w:cs="Times New Roman"/>
          <w:bCs/>
          <w:sz w:val="24"/>
          <w:szCs w:val="28"/>
        </w:rPr>
      </w:pPr>
      <w:r w:rsidRPr="00906EA7">
        <w:rPr>
          <w:rFonts w:ascii="Times New Roman" w:eastAsia="Calibri" w:hAnsi="Times New Roman" w:cs="Times New Roman"/>
          <w:bCs/>
          <w:sz w:val="24"/>
          <w:szCs w:val="28"/>
        </w:rPr>
        <w:tab/>
        <w:t>ТРАНСПОРТ и СВЯЗЬ</w:t>
      </w:r>
    </w:p>
    <w:p w:rsidR="001875D3" w:rsidRPr="00906EA7" w:rsidRDefault="001875D3"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70,0 км с твердым покрытием и 14,6 км насыпно-грунтовых.</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01.01.2020 насчитывает:</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 светофорных устройства;</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2 849 дорожных знаков;</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52 устройства ограничения скорости;</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65 остановок, из них павильонного типа – 43.</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Железнодорожная станция дислоцирована в 18 километрах от города в поселке городского типа Высокий. Движение поездов осуществляется ежедневно по утвержденным графикам.</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поселка городского типа Высокий, в городе Нижневартовске.</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территории городского округа утверждено и действуют 8 маршрутов регулярного сообщения:</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кольцевых в городе Мегионе;</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пригородных Мегион – Высокий (рабочие и выходные дни);</w:t>
      </w:r>
    </w:p>
    <w:p w:rsidR="00285919" w:rsidRPr="00906EA7" w:rsidRDefault="00285919" w:rsidP="0097253F">
      <w:pPr>
        <w:keepNext/>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кольцевой в пгт Высокий;</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кольцевой Мегион – СОТ «Обь»;</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кольцевой Мегион – СОТ «Дорожник» - Таежное озеро – Мегион.</w:t>
      </w:r>
    </w:p>
    <w:p w:rsidR="00285919" w:rsidRPr="00906EA7" w:rsidRDefault="00285919" w:rsidP="0097253F">
      <w:pPr>
        <w:keepNext/>
        <w:tabs>
          <w:tab w:val="left" w:pos="142"/>
          <w:tab w:val="left" w:pos="993"/>
          <w:tab w:val="left" w:pos="1134"/>
        </w:tabs>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рамках реализации муниципальной программы «Развитие транспортной системы городского округа город Мегион на 2019-2025 годы» в соответствии с заключенными муниципальными контрактами</w:t>
      </w:r>
      <w:r w:rsidRPr="00906EA7">
        <w:rPr>
          <w:rFonts w:ascii="Times New Roman" w:eastAsia="Times New Roman" w:hAnsi="Times New Roman" w:cs="Times New Roman"/>
          <w:sz w:val="24"/>
          <w:szCs w:val="24"/>
          <w:lang w:eastAsia="ru-RU"/>
        </w:rPr>
        <w:t xml:space="preserve"> на сумму 8 310,42 тыс. руб. индивидуальным предпринимателем Гурьевым Романом Викторовичем в 2019 году оказывались услуги по перевозке пассажиров и багажа автомобильным транспортом общего пользования на муниципальных маршрутах на территории городского округа, данные перевозки обеспечивались 12 </w:t>
      </w:r>
      <w:r w:rsidRPr="00906EA7">
        <w:rPr>
          <w:rFonts w:ascii="Times New Roman" w:hAnsi="Times New Roman" w:cs="Times New Roman"/>
          <w:sz w:val="24"/>
          <w:szCs w:val="24"/>
        </w:rPr>
        <w:t>транспортными средствами.</w:t>
      </w:r>
    </w:p>
    <w:p w:rsidR="00285919" w:rsidRPr="00906EA7" w:rsidRDefault="00285919" w:rsidP="0097253F">
      <w:pPr>
        <w:widowControl w:val="0"/>
        <w:shd w:val="clear" w:color="auto" w:fill="FFFFFF"/>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«Мегион-Нижневартовск». Объем их перевозок составляет 50-70 тыс. пассажиров в год.</w:t>
      </w:r>
    </w:p>
    <w:p w:rsidR="00285919" w:rsidRPr="00906EA7" w:rsidRDefault="00E02271" w:rsidP="0097253F">
      <w:pPr>
        <w:keepNext/>
        <w:widowControl w:val="0"/>
        <w:tabs>
          <w:tab w:val="left" w:pos="142"/>
          <w:tab w:val="left" w:pos="993"/>
          <w:tab w:val="left" w:pos="1134"/>
        </w:tabs>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lastRenderedPageBreak/>
        <w:t>С</w:t>
      </w:r>
      <w:r w:rsidR="00285919" w:rsidRPr="00906EA7">
        <w:rPr>
          <w:rFonts w:ascii="Times New Roman" w:hAnsi="Times New Roman" w:cs="Times New Roman"/>
          <w:sz w:val="24"/>
          <w:szCs w:val="24"/>
        </w:rPr>
        <w:t xml:space="preserve"> 01.06.2019 введен новый межмуниципальный маршрут в утренние и вечерние часы-пик сообщением Нижневартовск-Мегион-Высокий и обратно. </w:t>
      </w:r>
    </w:p>
    <w:p w:rsidR="00285919" w:rsidRPr="00906EA7" w:rsidRDefault="00285919" w:rsidP="0097253F">
      <w:pPr>
        <w:pStyle w:val="af2"/>
        <w:keepNext/>
        <w:ind w:firstLine="709"/>
        <w:jc w:val="both"/>
        <w:rPr>
          <w:rFonts w:ascii="Times New Roman" w:eastAsiaTheme="minorHAnsi" w:hAnsi="Times New Roman"/>
          <w:sz w:val="24"/>
          <w:szCs w:val="24"/>
        </w:rPr>
      </w:pPr>
      <w:r w:rsidRPr="00906EA7">
        <w:rPr>
          <w:rFonts w:ascii="Times New Roman" w:eastAsiaTheme="minorHAnsi" w:hAnsi="Times New Roman"/>
          <w:sz w:val="24"/>
          <w:szCs w:val="24"/>
        </w:rPr>
        <w:t xml:space="preserve">С целью развития транспортной инфраструктуры, организации дорожного движения на улично-дорожной сети городского округа </w:t>
      </w:r>
      <w:r w:rsidRPr="00906EA7">
        <w:rPr>
          <w:rFonts w:ascii="Times New Roman" w:hAnsi="Times New Roman"/>
          <w:sz w:val="24"/>
          <w:szCs w:val="24"/>
        </w:rPr>
        <w:t xml:space="preserve">выполнены работы по устранению колейности дорожного полотна на пересечении улиц Нефтяников – Кузьмина, Нефтяников – Свободы, Нефтяников – Заречной, а также по улицам Свободы и Новая в городе Мегионе и ремонт автомобильных дорог, а именно: улица Западная и Театральный проезд в городе и улицы 70 лет Октября и Советская в пгт Высокий. Протяженность отремонтированных </w:t>
      </w:r>
      <w:r w:rsidRPr="00906EA7">
        <w:rPr>
          <w:rFonts w:ascii="Times New Roman" w:eastAsiaTheme="minorHAnsi" w:hAnsi="Times New Roman"/>
          <w:sz w:val="24"/>
          <w:szCs w:val="24"/>
        </w:rPr>
        <w:t>автомобильных дорог города составила 2 327 метров.</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Произведено обустройство пешеходного перехода по улице проспект Победы со светофорным регулированием. Также выполнены работы по обустройству парковочных мест для инвалидов в количестве 6 штук и устройство ограждения на перекрестке улиц Нефтяников и Свободы длиною 57 метров. </w:t>
      </w:r>
    </w:p>
    <w:p w:rsidR="00285919" w:rsidRPr="00906EA7" w:rsidRDefault="00285919"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Деятельность по содержанию автомобильных дорог, проездов и элементов обустройства улично-дорожной сети на территории городского округа осуществляло общество с ограниченной ответственностью «Электрон». Организацией выполнены работы по ямочному ремонту автомобильных дорог 1 100 кв. м, смонтированы искусственные дорожные неровности на пешеходных переходах в количестве 3 штук, установлены дорожные знаки в количестве 170 штук, установлено ограждение на улично-дорожной сети городского округа город Мегион в количестве 400 метров. </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Также администрацией города принято решение о проведении мероприятий по реконструкции улично-дорожной сети города Мегиона в рамках заключения концессионного соглашения. С инициативой заключения концессионного соглашения в сентябре 2019 года выступило общество с ограниченной ответственностью «Проектные инвестиции – 1».</w:t>
      </w:r>
    </w:p>
    <w:p w:rsidR="00285919" w:rsidRPr="00906EA7" w:rsidRDefault="00285919" w:rsidP="0097253F">
      <w:pPr>
        <w:pStyle w:val="TableParagraph"/>
        <w:tabs>
          <w:tab w:val="left" w:pos="3191"/>
          <w:tab w:val="left" w:pos="6645"/>
        </w:tabs>
        <w:ind w:firstLine="709"/>
        <w:jc w:val="both"/>
        <w:rPr>
          <w:rFonts w:eastAsiaTheme="minorHAnsi"/>
          <w:sz w:val="24"/>
          <w:szCs w:val="24"/>
          <w:lang w:eastAsia="en-US" w:bidi="ar-SA"/>
        </w:rPr>
      </w:pPr>
      <w:r w:rsidRPr="00906EA7">
        <w:rPr>
          <w:rFonts w:eastAsiaTheme="minorHAnsi"/>
          <w:sz w:val="24"/>
          <w:szCs w:val="24"/>
          <w:lang w:eastAsia="en-US" w:bidi="ar-SA"/>
        </w:rPr>
        <w:t>В рамках планируемого к заключению концессионного соглашения предполагается выполнение работ по 3 объектам (ул.Нефтяников, ул.Абазарова, ул.Пионерская).</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концессионному соглашению финансирование составит порядка 1 710 млн руб. Оно включают поддержание объектов на протяжении 7 лет в надлежащем состоянии, осуществление содержания, технического обслуживания, непрерывную эксплуатацию объекта в качестве автомобильной дороги общего пользования местного назначения.</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Заключение соглашения на реконструкцию улично-дорожной сети города Мегиона обществом с ограниченной ответственностью «Проектные инвестиции – 1» планируется в </w:t>
      </w:r>
      <w:r w:rsidR="006C280B" w:rsidRPr="00906EA7">
        <w:rPr>
          <w:rFonts w:ascii="Times New Roman" w:hAnsi="Times New Roman" w:cs="Times New Roman"/>
          <w:sz w:val="24"/>
          <w:szCs w:val="24"/>
        </w:rPr>
        <w:t>2020 году</w:t>
      </w:r>
      <w:r w:rsidRPr="00906EA7">
        <w:rPr>
          <w:rFonts w:ascii="Times New Roman" w:hAnsi="Times New Roman" w:cs="Times New Roman"/>
          <w:sz w:val="24"/>
          <w:szCs w:val="24"/>
        </w:rPr>
        <w:t>.</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Реализация соглашения позволит обеспечить приведение состояния основных автомобильных дорог города к нормативным требованиям, обустроить часть дорог и прилегающих к ним территорий (благоустройство, нанесение разметки, установка ограждений, дорожных знаков, бордюров, устройство ливневой канализации, освещение дорог и т.д.), и, как следствие, расширить территории для жилищного строительства с привлечением инвесторов.</w:t>
      </w:r>
    </w:p>
    <w:p w:rsidR="001875D3" w:rsidRPr="00906EA7" w:rsidRDefault="001875D3" w:rsidP="0097253F">
      <w:pPr>
        <w:spacing w:after="0" w:line="240" w:lineRule="auto"/>
        <w:ind w:firstLine="709"/>
        <w:jc w:val="both"/>
        <w:rPr>
          <w:rFonts w:ascii="Times New Roman" w:hAnsi="Times New Roman" w:cs="Times New Roman"/>
          <w:sz w:val="24"/>
          <w:szCs w:val="24"/>
        </w:rPr>
      </w:pPr>
    </w:p>
    <w:p w:rsidR="00CA3780" w:rsidRPr="00906EA7" w:rsidRDefault="00CA3780" w:rsidP="0097253F">
      <w:pPr>
        <w:widowControl w:val="0"/>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ДОХОДЫ И РАСХОДЫ МЕСТНОГО БЮДЖЕТА</w:t>
      </w:r>
    </w:p>
    <w:p w:rsidR="00CA3780" w:rsidRPr="00906EA7" w:rsidRDefault="00CA3780" w:rsidP="0097253F">
      <w:pPr>
        <w:widowControl w:val="0"/>
        <w:spacing w:after="0" w:line="240" w:lineRule="auto"/>
        <w:ind w:firstLine="708"/>
        <w:jc w:val="both"/>
        <w:rPr>
          <w:rFonts w:ascii="Times New Roman" w:eastAsia="Calibri Light" w:hAnsi="Times New Roman" w:cs="Times New Roman"/>
          <w:b/>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Style w:val="af4"/>
          <w:rFonts w:ascii="Times New Roman" w:hAnsi="Times New Roman" w:cs="Times New Roman"/>
          <w:b w:val="0"/>
          <w:sz w:val="24"/>
          <w:szCs w:val="24"/>
        </w:rPr>
        <w:t>Исполнение местного бюджета по доходам</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Доходы</w:t>
      </w:r>
      <w:r w:rsidRPr="00906EA7">
        <w:rPr>
          <w:rStyle w:val="apple-converted-space"/>
          <w:rFonts w:ascii="Times New Roman" w:hAnsi="Times New Roman"/>
          <w:sz w:val="24"/>
          <w:szCs w:val="24"/>
        </w:rPr>
        <w:t> </w:t>
      </w:r>
      <w:r w:rsidRPr="00906EA7">
        <w:rPr>
          <w:rFonts w:ascii="Times New Roman" w:hAnsi="Times New Roman" w:cs="Times New Roman"/>
          <w:sz w:val="24"/>
          <w:szCs w:val="24"/>
        </w:rPr>
        <w:t>местного бюджета на 2019 год утвер</w:t>
      </w:r>
      <w:r w:rsidR="002F016A" w:rsidRPr="00906EA7">
        <w:rPr>
          <w:rFonts w:ascii="Times New Roman" w:hAnsi="Times New Roman" w:cs="Times New Roman"/>
          <w:sz w:val="24"/>
          <w:szCs w:val="24"/>
        </w:rPr>
        <w:t>ждены в сумме 5 310,9 млн руб</w:t>
      </w:r>
      <w:r w:rsidRPr="00906EA7">
        <w:rPr>
          <w:rFonts w:ascii="Times New Roman" w:hAnsi="Times New Roman" w:cs="Times New Roman"/>
          <w:sz w:val="24"/>
          <w:szCs w:val="24"/>
        </w:rPr>
        <w:t>. За январь-декабрь 2019 года в местный бюд</w:t>
      </w:r>
      <w:r w:rsidR="002F016A" w:rsidRPr="00906EA7">
        <w:rPr>
          <w:rFonts w:ascii="Times New Roman" w:hAnsi="Times New Roman" w:cs="Times New Roman"/>
          <w:sz w:val="24"/>
          <w:szCs w:val="24"/>
        </w:rPr>
        <w:t>жет поступило 5 146,0 млн руб.</w:t>
      </w:r>
      <w:r w:rsidRPr="00906EA7">
        <w:rPr>
          <w:rFonts w:ascii="Times New Roman" w:hAnsi="Times New Roman" w:cs="Times New Roman"/>
          <w:sz w:val="24"/>
          <w:szCs w:val="24"/>
        </w:rPr>
        <w:t>, или 96,9% от плана 2019 года. По сравнению с аналогичным периодом 2018 годом поступлени</w:t>
      </w:r>
      <w:r w:rsidR="002F016A" w:rsidRPr="00906EA7">
        <w:rPr>
          <w:rFonts w:ascii="Times New Roman" w:hAnsi="Times New Roman" w:cs="Times New Roman"/>
          <w:sz w:val="24"/>
          <w:szCs w:val="24"/>
        </w:rPr>
        <w:t>я увеличились на 73,1 млн руб.</w:t>
      </w:r>
      <w:r w:rsidR="00E02271" w:rsidRPr="00906EA7">
        <w:rPr>
          <w:rFonts w:ascii="Times New Roman" w:hAnsi="Times New Roman" w:cs="Times New Roman"/>
          <w:sz w:val="24"/>
          <w:szCs w:val="24"/>
        </w:rPr>
        <w:t xml:space="preserve">, </w:t>
      </w:r>
      <w:r w:rsidRPr="00906EA7">
        <w:rPr>
          <w:rFonts w:ascii="Times New Roman" w:hAnsi="Times New Roman" w:cs="Times New Roman"/>
          <w:sz w:val="24"/>
          <w:szCs w:val="24"/>
        </w:rPr>
        <w:t>или на 1,4%.</w:t>
      </w:r>
    </w:p>
    <w:p w:rsidR="00906EA7" w:rsidRDefault="00906EA7" w:rsidP="0097253F">
      <w:pPr>
        <w:spacing w:after="0" w:line="240" w:lineRule="auto"/>
        <w:ind w:firstLine="709"/>
        <w:jc w:val="both"/>
        <w:rPr>
          <w:rFonts w:ascii="Times New Roman" w:hAnsi="Times New Roman" w:cs="Times New Roman"/>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Структура доходов местного бюджета характеризуется следующими показателями:</w:t>
      </w:r>
    </w:p>
    <w:p w:rsidR="001875D3" w:rsidRPr="00906EA7" w:rsidRDefault="001875D3" w:rsidP="0097253F">
      <w:pPr>
        <w:spacing w:after="0" w:line="240" w:lineRule="auto"/>
        <w:jc w:val="both"/>
        <w:rPr>
          <w:rFonts w:ascii="Times New Roman" w:hAnsi="Times New Roman" w:cs="Times New Roman"/>
          <w:sz w:val="24"/>
          <w:szCs w:val="24"/>
        </w:rPr>
      </w:pPr>
    </w:p>
    <w:p w:rsidR="00D36F70" w:rsidRPr="00906EA7" w:rsidRDefault="002F016A" w:rsidP="0097253F">
      <w:pPr>
        <w:spacing w:after="0" w:line="240" w:lineRule="auto"/>
        <w:jc w:val="right"/>
        <w:rPr>
          <w:rFonts w:ascii="Times New Roman" w:hAnsi="Times New Roman" w:cs="Times New Roman"/>
          <w:sz w:val="20"/>
          <w:szCs w:val="20"/>
        </w:rPr>
      </w:pPr>
      <w:r w:rsidRPr="00906EA7">
        <w:rPr>
          <w:rFonts w:ascii="Times New Roman" w:hAnsi="Times New Roman" w:cs="Times New Roman"/>
          <w:sz w:val="20"/>
          <w:szCs w:val="20"/>
        </w:rPr>
        <w:t>млн руб.</w:t>
      </w:r>
    </w:p>
    <w:tbl>
      <w:tblPr>
        <w:tblW w:w="0" w:type="auto"/>
        <w:tblInd w:w="108" w:type="dxa"/>
        <w:tblLayout w:type="fixed"/>
        <w:tblCellMar>
          <w:left w:w="0" w:type="dxa"/>
          <w:right w:w="0" w:type="dxa"/>
        </w:tblCellMar>
        <w:tblLook w:val="00A0" w:firstRow="1" w:lastRow="0" w:firstColumn="1" w:lastColumn="0" w:noHBand="0" w:noVBand="0"/>
      </w:tblPr>
      <w:tblGrid>
        <w:gridCol w:w="4400"/>
        <w:gridCol w:w="1778"/>
        <w:gridCol w:w="1778"/>
        <w:gridCol w:w="1778"/>
      </w:tblGrid>
      <w:tr w:rsidR="00D36F70" w:rsidRPr="00906EA7" w:rsidTr="00E86E27">
        <w:trPr>
          <w:trHeight w:val="75"/>
          <w:tblHeader/>
        </w:trPr>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0"/>
                <w:szCs w:val="20"/>
              </w:rPr>
            </w:pPr>
            <w:r w:rsidRPr="00906EA7">
              <w:rPr>
                <w:rStyle w:val="af4"/>
                <w:rFonts w:ascii="Times New Roman" w:hAnsi="Times New Roman" w:cs="Times New Roman"/>
                <w:b w:val="0"/>
                <w:sz w:val="20"/>
                <w:szCs w:val="20"/>
              </w:rPr>
              <w:t>Наименование доходов</w:t>
            </w:r>
          </w:p>
        </w:tc>
        <w:tc>
          <w:tcPr>
            <w:tcW w:w="1778" w:type="dxa"/>
            <w:tcBorders>
              <w:top w:val="single" w:sz="8" w:space="0" w:color="auto"/>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0"/>
                <w:szCs w:val="20"/>
              </w:rPr>
            </w:pPr>
            <w:r w:rsidRPr="00906EA7">
              <w:rPr>
                <w:rStyle w:val="af4"/>
                <w:rFonts w:ascii="Times New Roman" w:hAnsi="Times New Roman" w:cs="Times New Roman"/>
                <w:b w:val="0"/>
                <w:sz w:val="20"/>
                <w:szCs w:val="20"/>
              </w:rPr>
              <w:t>2018 год</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0"/>
                <w:szCs w:val="20"/>
              </w:rPr>
            </w:pPr>
            <w:r w:rsidRPr="00906EA7">
              <w:rPr>
                <w:rStyle w:val="af4"/>
                <w:rFonts w:ascii="Times New Roman" w:hAnsi="Times New Roman" w:cs="Times New Roman"/>
                <w:b w:val="0"/>
                <w:sz w:val="20"/>
                <w:szCs w:val="20"/>
              </w:rPr>
              <w:t>2019 год</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0"/>
                <w:szCs w:val="20"/>
              </w:rPr>
            </w:pPr>
            <w:r w:rsidRPr="00906EA7">
              <w:rPr>
                <w:rStyle w:val="af4"/>
                <w:rFonts w:ascii="Times New Roman" w:hAnsi="Times New Roman" w:cs="Times New Roman"/>
                <w:b w:val="0"/>
                <w:sz w:val="20"/>
                <w:szCs w:val="20"/>
              </w:rPr>
              <w:t>Темп роста (снижения), %</w:t>
            </w:r>
          </w:p>
        </w:tc>
      </w:tr>
      <w:tr w:rsidR="00D36F70" w:rsidRPr="00906EA7" w:rsidTr="001875D3">
        <w:trPr>
          <w:trHeight w:val="439"/>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4"/>
                <w:szCs w:val="24"/>
              </w:rPr>
            </w:pPr>
            <w:r w:rsidRPr="00906EA7">
              <w:rPr>
                <w:rFonts w:ascii="Times New Roman" w:hAnsi="Times New Roman" w:cs="Times New Roman"/>
                <w:sz w:val="24"/>
                <w:szCs w:val="24"/>
              </w:rPr>
              <w:lastRenderedPageBreak/>
              <w:t>Всего налоговых и неналоговых доходов (собственные доходы)</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1 305,3</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1 502,0</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115,1</w:t>
            </w:r>
          </w:p>
        </w:tc>
      </w:tr>
      <w:tr w:rsidR="00D36F70" w:rsidRPr="00906EA7" w:rsidTr="001875D3">
        <w:trPr>
          <w:trHeight w:val="233"/>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4"/>
                <w:szCs w:val="24"/>
              </w:rPr>
            </w:pPr>
            <w:r w:rsidRPr="00906EA7">
              <w:rPr>
                <w:rFonts w:ascii="Times New Roman" w:hAnsi="Times New Roman" w:cs="Times New Roman"/>
                <w:sz w:val="24"/>
                <w:szCs w:val="24"/>
              </w:rPr>
              <w:t>в том числе: Налоговые доходы</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1 070,9</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1 230,6</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114,9</w:t>
            </w:r>
          </w:p>
        </w:tc>
      </w:tr>
      <w:tr w:rsidR="00D36F70" w:rsidRPr="00906EA7" w:rsidTr="001875D3">
        <w:trPr>
          <w:trHeight w:val="381"/>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4"/>
                <w:szCs w:val="24"/>
              </w:rPr>
            </w:pPr>
            <w:r w:rsidRPr="00906EA7">
              <w:rPr>
                <w:rFonts w:ascii="Times New Roman" w:hAnsi="Times New Roman" w:cs="Times New Roman"/>
                <w:sz w:val="24"/>
                <w:szCs w:val="24"/>
              </w:rPr>
              <w:t>Неналоговые доходы</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234,4</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271,3</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115,8</w:t>
            </w:r>
          </w:p>
        </w:tc>
      </w:tr>
      <w:tr w:rsidR="00D36F70" w:rsidRPr="00906EA7" w:rsidTr="001875D3">
        <w:trPr>
          <w:trHeight w:val="207"/>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4"/>
                <w:szCs w:val="24"/>
              </w:rPr>
            </w:pPr>
            <w:r w:rsidRPr="00906EA7">
              <w:rPr>
                <w:rFonts w:ascii="Times New Roman" w:hAnsi="Times New Roman" w:cs="Times New Roman"/>
                <w:sz w:val="24"/>
                <w:szCs w:val="24"/>
              </w:rPr>
              <w:t xml:space="preserve">Безвозмездные поступления </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3 767,5</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3 644,1</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96,7</w:t>
            </w:r>
          </w:p>
        </w:tc>
      </w:tr>
      <w:tr w:rsidR="00D36F70" w:rsidRPr="00906EA7" w:rsidTr="001875D3">
        <w:trPr>
          <w:trHeight w:val="407"/>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625FE7" w:rsidRDefault="00D36F70" w:rsidP="0097253F">
            <w:pPr>
              <w:spacing w:after="0" w:line="240" w:lineRule="auto"/>
              <w:jc w:val="both"/>
              <w:rPr>
                <w:rFonts w:ascii="Times New Roman" w:hAnsi="Times New Roman" w:cs="Times New Roman"/>
                <w:b/>
                <w:bCs/>
                <w:sz w:val="24"/>
                <w:szCs w:val="24"/>
              </w:rPr>
            </w:pPr>
            <w:r w:rsidRPr="00625FE7">
              <w:rPr>
                <w:rStyle w:val="af4"/>
                <w:rFonts w:ascii="Times New Roman" w:hAnsi="Times New Roman" w:cs="Times New Roman"/>
                <w:b w:val="0"/>
                <w:sz w:val="24"/>
                <w:szCs w:val="24"/>
              </w:rPr>
              <w:t>Всего доходов</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5 072,8</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5 146,0</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101,4</w:t>
            </w:r>
          </w:p>
        </w:tc>
      </w:tr>
    </w:tbl>
    <w:p w:rsidR="00625FE7" w:rsidRDefault="00625FE7" w:rsidP="0097253F">
      <w:pPr>
        <w:spacing w:after="0" w:line="240" w:lineRule="auto"/>
        <w:ind w:firstLine="709"/>
        <w:jc w:val="both"/>
        <w:rPr>
          <w:rFonts w:ascii="Times New Roman" w:hAnsi="Times New Roman" w:cs="Times New Roman"/>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отчетном периоде собственные дох</w:t>
      </w:r>
      <w:r w:rsidR="002F016A" w:rsidRPr="00906EA7">
        <w:rPr>
          <w:rFonts w:ascii="Times New Roman" w:hAnsi="Times New Roman" w:cs="Times New Roman"/>
          <w:sz w:val="24"/>
          <w:szCs w:val="24"/>
        </w:rPr>
        <w:t>оды составили 1 502,0 млн руб.</w:t>
      </w:r>
      <w:r w:rsidRPr="00906EA7">
        <w:rPr>
          <w:rFonts w:ascii="Times New Roman" w:hAnsi="Times New Roman" w:cs="Times New Roman"/>
          <w:sz w:val="24"/>
          <w:szCs w:val="24"/>
        </w:rPr>
        <w:t xml:space="preserve"> и увеличились на 15,1% по отношению к январю-декабрю 2018 года. Основными источниками формирования собственных доходов местного бюджета за</w:t>
      </w:r>
      <w:r w:rsidRPr="00906EA7">
        <w:rPr>
          <w:rStyle w:val="af4"/>
          <w:rFonts w:ascii="Times New Roman" w:hAnsi="Times New Roman" w:cs="Times New Roman"/>
          <w:sz w:val="24"/>
          <w:szCs w:val="24"/>
        </w:rPr>
        <w:t xml:space="preserve"> </w:t>
      </w:r>
      <w:r w:rsidRPr="00906EA7">
        <w:rPr>
          <w:rStyle w:val="af4"/>
          <w:rFonts w:ascii="Times New Roman" w:hAnsi="Times New Roman" w:cs="Times New Roman"/>
          <w:b w:val="0"/>
          <w:sz w:val="24"/>
          <w:szCs w:val="24"/>
        </w:rPr>
        <w:t>2019 год</w:t>
      </w:r>
      <w:r w:rsidRPr="00906EA7">
        <w:rPr>
          <w:rFonts w:ascii="Times New Roman" w:hAnsi="Times New Roman" w:cs="Times New Roman"/>
          <w:sz w:val="24"/>
          <w:szCs w:val="24"/>
        </w:rPr>
        <w:t xml:space="preserve"> явились: налог на доходы физических лиц (63,3% от суммы собственных доходов), налоги на имущество (4,8%), налоги на совокупный доход (12,2%), доходы от использования имущества, находящегося в муниципальной собственности (11,8%), доходы от продажи материальных и нематериальных активов (5,4%). </w:t>
      </w:r>
    </w:p>
    <w:p w:rsidR="00D36F70" w:rsidRPr="00906EA7" w:rsidRDefault="00D36F70" w:rsidP="0097253F">
      <w:pPr>
        <w:spacing w:after="0" w:line="240" w:lineRule="auto"/>
        <w:ind w:firstLine="709"/>
        <w:jc w:val="both"/>
        <w:rPr>
          <w:rFonts w:ascii="Times New Roman" w:hAnsi="Times New Roman" w:cs="Times New Roman"/>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Структура доходов местного бюджета городского округа город Мегион за 2019 год</w:t>
      </w:r>
    </w:p>
    <w:p w:rsidR="00D36F70" w:rsidRPr="00906EA7" w:rsidRDefault="00D36F70" w:rsidP="0097253F">
      <w:pPr>
        <w:spacing w:after="0" w:line="240" w:lineRule="auto"/>
        <w:ind w:firstLine="709"/>
        <w:jc w:val="both"/>
        <w:rPr>
          <w:rFonts w:ascii="Times New Roman" w:hAnsi="Times New Roman" w:cs="Times New Roman"/>
          <w:sz w:val="24"/>
          <w:szCs w:val="24"/>
        </w:rPr>
      </w:pPr>
    </w:p>
    <w:tbl>
      <w:tblPr>
        <w:tblStyle w:val="a3"/>
        <w:tblW w:w="0" w:type="auto"/>
        <w:tblInd w:w="0" w:type="dxa"/>
        <w:tblLook w:val="04A0" w:firstRow="1" w:lastRow="0" w:firstColumn="1" w:lastColumn="0" w:noHBand="0" w:noVBand="1"/>
      </w:tblPr>
      <w:tblGrid>
        <w:gridCol w:w="5778"/>
        <w:gridCol w:w="2268"/>
        <w:gridCol w:w="1808"/>
      </w:tblGrid>
      <w:tr w:rsidR="00D36F70" w:rsidRPr="00906EA7" w:rsidTr="0097253F">
        <w:trPr>
          <w:trHeight w:val="451"/>
        </w:trPr>
        <w:tc>
          <w:tcPr>
            <w:tcW w:w="5778" w:type="dxa"/>
            <w:vAlign w:val="center"/>
          </w:tcPr>
          <w:p w:rsidR="00D36F70" w:rsidRPr="00906EA7" w:rsidRDefault="00D36F70" w:rsidP="0097253F">
            <w:pPr>
              <w:jc w:val="both"/>
              <w:rPr>
                <w:rFonts w:ascii="Times New Roman" w:hAnsi="Times New Roman"/>
                <w:sz w:val="20"/>
                <w:szCs w:val="20"/>
              </w:rPr>
            </w:pPr>
          </w:p>
        </w:tc>
        <w:tc>
          <w:tcPr>
            <w:tcW w:w="2268" w:type="dxa"/>
            <w:vAlign w:val="center"/>
          </w:tcPr>
          <w:p w:rsidR="00D36F70" w:rsidRPr="00906EA7" w:rsidRDefault="002F016A" w:rsidP="0097253F">
            <w:pPr>
              <w:jc w:val="center"/>
              <w:rPr>
                <w:rFonts w:ascii="Times New Roman" w:hAnsi="Times New Roman"/>
                <w:sz w:val="20"/>
                <w:szCs w:val="20"/>
              </w:rPr>
            </w:pPr>
            <w:r w:rsidRPr="00906EA7">
              <w:rPr>
                <w:rFonts w:ascii="Times New Roman" w:hAnsi="Times New Roman"/>
                <w:sz w:val="20"/>
                <w:szCs w:val="20"/>
              </w:rPr>
              <w:t>сумма, млн руб.</w:t>
            </w:r>
          </w:p>
        </w:tc>
        <w:tc>
          <w:tcPr>
            <w:tcW w:w="1808" w:type="dxa"/>
            <w:vAlign w:val="center"/>
          </w:tcPr>
          <w:p w:rsidR="00D36F70" w:rsidRPr="00906EA7" w:rsidRDefault="00D36F70" w:rsidP="0097253F">
            <w:pPr>
              <w:jc w:val="center"/>
              <w:rPr>
                <w:rFonts w:ascii="Times New Roman" w:hAnsi="Times New Roman"/>
                <w:sz w:val="20"/>
                <w:szCs w:val="20"/>
              </w:rPr>
            </w:pPr>
            <w:r w:rsidRPr="00906EA7">
              <w:rPr>
                <w:rFonts w:ascii="Times New Roman" w:hAnsi="Times New Roman"/>
                <w:sz w:val="20"/>
                <w:szCs w:val="20"/>
              </w:rPr>
              <w:t>уд. вес %</w:t>
            </w:r>
          </w:p>
        </w:tc>
      </w:tr>
      <w:tr w:rsidR="00D36F70" w:rsidRPr="00906EA7" w:rsidTr="0097253F">
        <w:trPr>
          <w:trHeight w:val="451"/>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Доходы - всего</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5 146,0</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100%</w:t>
            </w:r>
          </w:p>
        </w:tc>
      </w:tr>
      <w:tr w:rsidR="00D36F70" w:rsidRPr="00906EA7" w:rsidTr="0097253F">
        <w:trPr>
          <w:trHeight w:val="255"/>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в том числе:</w:t>
            </w:r>
          </w:p>
        </w:tc>
        <w:tc>
          <w:tcPr>
            <w:tcW w:w="2268" w:type="dxa"/>
            <w:vAlign w:val="center"/>
          </w:tcPr>
          <w:p w:rsidR="00D36F70" w:rsidRPr="00906EA7" w:rsidRDefault="00D36F70" w:rsidP="0097253F">
            <w:pPr>
              <w:jc w:val="center"/>
              <w:rPr>
                <w:rFonts w:ascii="Times New Roman" w:hAnsi="Times New Roman"/>
                <w:sz w:val="24"/>
                <w:szCs w:val="24"/>
              </w:rPr>
            </w:pPr>
          </w:p>
        </w:tc>
        <w:tc>
          <w:tcPr>
            <w:tcW w:w="1808" w:type="dxa"/>
            <w:vAlign w:val="center"/>
          </w:tcPr>
          <w:p w:rsidR="00D36F70" w:rsidRPr="00906EA7" w:rsidRDefault="00D36F70" w:rsidP="0097253F">
            <w:pPr>
              <w:jc w:val="center"/>
              <w:rPr>
                <w:rFonts w:ascii="Times New Roman" w:hAnsi="Times New Roman"/>
                <w:sz w:val="24"/>
                <w:szCs w:val="24"/>
              </w:rPr>
            </w:pPr>
          </w:p>
        </w:tc>
      </w:tr>
      <w:tr w:rsidR="00D36F70" w:rsidRPr="00906EA7" w:rsidTr="0097253F">
        <w:trPr>
          <w:trHeight w:val="415"/>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Безвозмездные поступления</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3 644,1</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70,8</w:t>
            </w:r>
          </w:p>
        </w:tc>
      </w:tr>
      <w:tr w:rsidR="00D36F70" w:rsidRPr="00906EA7" w:rsidTr="0097253F">
        <w:trPr>
          <w:trHeight w:val="422"/>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Налоговые доходы, в том числе:</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1 230,6</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23,9</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налоги на прибыль, доходы (НДФЛ)</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951,7</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18,5</w:t>
            </w:r>
          </w:p>
        </w:tc>
      </w:tr>
      <w:tr w:rsidR="00D36F70" w:rsidRPr="00906EA7" w:rsidTr="0097253F">
        <w:trPr>
          <w:trHeight w:val="372"/>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налоги на совокупный доход</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183,5</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3,6</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налоги на имущество</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72,2</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1,4</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прочие налоговые налоги</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23,2</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0,4</w:t>
            </w:r>
          </w:p>
        </w:tc>
      </w:tr>
      <w:tr w:rsidR="00D36F70" w:rsidRPr="00906EA7" w:rsidTr="0097253F">
        <w:trPr>
          <w:trHeight w:val="350"/>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Неналоговые доходы, в том числе:</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271,3</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5,3</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176,6</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3,4</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доходы от продажи материальных и нематериальных активов</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70,0</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1,4</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штрафы, санкции, возмещение ущерба</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13,0</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0,3</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прочие неналоговые доходы</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11,7</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0,2</w:t>
            </w:r>
          </w:p>
        </w:tc>
      </w:tr>
    </w:tbl>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 </w:t>
      </w:r>
    </w:p>
    <w:p w:rsidR="00D36F70" w:rsidRPr="00906EA7" w:rsidRDefault="00D36F70" w:rsidP="0097253F">
      <w:pPr>
        <w:spacing w:after="0" w:line="240" w:lineRule="auto"/>
        <w:ind w:firstLine="709"/>
        <w:jc w:val="both"/>
        <w:rPr>
          <w:rStyle w:val="apple-style-span"/>
          <w:sz w:val="24"/>
          <w:szCs w:val="24"/>
        </w:rPr>
      </w:pPr>
      <w:r w:rsidRPr="00906EA7">
        <w:rPr>
          <w:rFonts w:ascii="Times New Roman" w:hAnsi="Times New Roman" w:cs="Times New Roman"/>
          <w:sz w:val="24"/>
          <w:szCs w:val="24"/>
        </w:rPr>
        <w:t xml:space="preserve">Основную долю налоговых поступлений бюджета городского округа город Мегион составляет налог на доходы физических лиц – 18,5%. </w:t>
      </w:r>
      <w:r w:rsidRPr="00906EA7">
        <w:rPr>
          <w:rStyle w:val="apple-style-span"/>
          <w:sz w:val="24"/>
          <w:szCs w:val="24"/>
        </w:rPr>
        <w:t>По сравнению с аналогичным периодом 2018 года налог на доходы физических лиц увеличился на 1</w:t>
      </w:r>
      <w:r w:rsidR="002F016A" w:rsidRPr="00906EA7">
        <w:rPr>
          <w:rStyle w:val="apple-style-span"/>
          <w:sz w:val="24"/>
          <w:szCs w:val="24"/>
        </w:rPr>
        <w:t>8,0% и составил 951,7 млн руб</w:t>
      </w:r>
      <w:r w:rsidRPr="00906EA7">
        <w:rPr>
          <w:rStyle w:val="apple-style-span"/>
          <w:sz w:val="24"/>
          <w:szCs w:val="24"/>
        </w:rPr>
        <w:t>.</w:t>
      </w:r>
    </w:p>
    <w:p w:rsidR="00D36F70" w:rsidRPr="00906EA7" w:rsidRDefault="00D36F70" w:rsidP="0097253F">
      <w:pPr>
        <w:autoSpaceDE w:val="0"/>
        <w:autoSpaceDN w:val="0"/>
        <w:adjustRightInd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За январь-декабрь 2019 года в бюджет </w:t>
      </w:r>
      <w:r w:rsidR="002F016A" w:rsidRPr="00906EA7">
        <w:rPr>
          <w:rFonts w:ascii="Times New Roman" w:hAnsi="Times New Roman" w:cs="Times New Roman"/>
          <w:sz w:val="24"/>
          <w:szCs w:val="24"/>
        </w:rPr>
        <w:t>города поступило 13,6 млн руб.</w:t>
      </w:r>
      <w:r w:rsidRPr="00906EA7">
        <w:rPr>
          <w:rFonts w:ascii="Times New Roman" w:hAnsi="Times New Roman" w:cs="Times New Roman"/>
          <w:sz w:val="24"/>
          <w:szCs w:val="24"/>
        </w:rPr>
        <w:t xml:space="preserve"> налога на товары (работы, услуги)</w:t>
      </w:r>
      <w:r w:rsidR="00E02271" w:rsidRPr="00906EA7">
        <w:rPr>
          <w:rFonts w:ascii="Times New Roman" w:hAnsi="Times New Roman" w:cs="Times New Roman"/>
          <w:sz w:val="24"/>
          <w:szCs w:val="24"/>
        </w:rPr>
        <w:t>,</w:t>
      </w:r>
      <w:r w:rsidRPr="00906EA7">
        <w:rPr>
          <w:rFonts w:ascii="Times New Roman" w:hAnsi="Times New Roman" w:cs="Times New Roman"/>
          <w:sz w:val="24"/>
          <w:szCs w:val="24"/>
        </w:rPr>
        <w:t xml:space="preserve"> реализуемые на территории РФ, что на 15,7% больше, чем за аналогичный период 2018 года.</w:t>
      </w:r>
    </w:p>
    <w:p w:rsidR="00D36F70" w:rsidRPr="00906EA7" w:rsidRDefault="00D36F70" w:rsidP="0097253F">
      <w:pPr>
        <w:spacing w:after="0" w:line="240" w:lineRule="auto"/>
        <w:ind w:firstLine="709"/>
        <w:jc w:val="both"/>
        <w:rPr>
          <w:rStyle w:val="apple-style-span"/>
          <w:sz w:val="24"/>
          <w:szCs w:val="24"/>
        </w:rPr>
      </w:pPr>
      <w:r w:rsidRPr="00906EA7">
        <w:rPr>
          <w:rStyle w:val="apple-style-span"/>
          <w:sz w:val="24"/>
          <w:szCs w:val="24"/>
        </w:rPr>
        <w:t xml:space="preserve">В отчетном периоде на 4,3% увеличились налоги на совокупный доход. </w:t>
      </w:r>
      <w:r w:rsidR="00E02271" w:rsidRPr="00906EA7">
        <w:rPr>
          <w:rStyle w:val="apple-style-span"/>
          <w:sz w:val="24"/>
          <w:szCs w:val="24"/>
        </w:rPr>
        <w:t>При этом, е</w:t>
      </w:r>
      <w:r w:rsidRPr="00906EA7">
        <w:rPr>
          <w:rStyle w:val="apple-style-span"/>
          <w:sz w:val="24"/>
          <w:szCs w:val="24"/>
        </w:rPr>
        <w:t>диный налог на вмененны</w:t>
      </w:r>
      <w:r w:rsidR="002F016A" w:rsidRPr="00906EA7">
        <w:rPr>
          <w:rStyle w:val="apple-style-span"/>
          <w:sz w:val="24"/>
          <w:szCs w:val="24"/>
        </w:rPr>
        <w:t>й доход составил 32,9 млн руб.</w:t>
      </w:r>
      <w:r w:rsidRPr="00906EA7">
        <w:rPr>
          <w:rStyle w:val="apple-style-span"/>
          <w:sz w:val="24"/>
          <w:szCs w:val="24"/>
        </w:rPr>
        <w:t xml:space="preserve"> и снизился на 4,7%. Единый налог, взимаемый в связи с применением упрощенной системы налогообложения, за январь-декабрь 201</w:t>
      </w:r>
      <w:r w:rsidR="002F016A" w:rsidRPr="00906EA7">
        <w:rPr>
          <w:rStyle w:val="apple-style-span"/>
          <w:sz w:val="24"/>
          <w:szCs w:val="24"/>
        </w:rPr>
        <w:t>9 года составил 142,0 млн руб.</w:t>
      </w:r>
      <w:r w:rsidRPr="00906EA7">
        <w:rPr>
          <w:rStyle w:val="apple-style-span"/>
          <w:sz w:val="24"/>
          <w:szCs w:val="24"/>
        </w:rPr>
        <w:t xml:space="preserve">, темп </w:t>
      </w:r>
      <w:r w:rsidR="00E02271" w:rsidRPr="00906EA7">
        <w:rPr>
          <w:rStyle w:val="apple-style-span"/>
          <w:sz w:val="24"/>
          <w:szCs w:val="24"/>
        </w:rPr>
        <w:t>при</w:t>
      </w:r>
      <w:r w:rsidRPr="00906EA7">
        <w:rPr>
          <w:rStyle w:val="apple-style-span"/>
          <w:sz w:val="24"/>
          <w:szCs w:val="24"/>
        </w:rPr>
        <w:t xml:space="preserve">роста по отношению к аналогичному периоду 2018 года составил 8,0%. В отчетном периоде снизился налог, взимаемый в виде </w:t>
      </w:r>
      <w:r w:rsidRPr="00906EA7">
        <w:rPr>
          <w:rStyle w:val="apple-style-span"/>
          <w:sz w:val="24"/>
          <w:szCs w:val="24"/>
        </w:rPr>
        <w:lastRenderedPageBreak/>
        <w:t>стоимости патента, в связи с применением упрощенной системы налогообложения на</w:t>
      </w:r>
      <w:r w:rsidR="002F016A" w:rsidRPr="00906EA7">
        <w:rPr>
          <w:rStyle w:val="apple-style-span"/>
          <w:sz w:val="24"/>
          <w:szCs w:val="24"/>
        </w:rPr>
        <w:t xml:space="preserve"> 13,5% и составил 8,5 млн руб</w:t>
      </w:r>
      <w:r w:rsidRPr="00906EA7">
        <w:rPr>
          <w:rStyle w:val="apple-style-span"/>
          <w:sz w:val="24"/>
          <w:szCs w:val="24"/>
        </w:rPr>
        <w:t>.</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Исполнение местного бюджета по неналоговым доходам за 2019 год </w:t>
      </w:r>
      <w:r w:rsidR="002F016A" w:rsidRPr="00906EA7">
        <w:rPr>
          <w:rFonts w:ascii="Times New Roman" w:hAnsi="Times New Roman" w:cs="Times New Roman"/>
          <w:sz w:val="24"/>
          <w:szCs w:val="24"/>
        </w:rPr>
        <w:t>составило 271,3 млн руб.</w:t>
      </w:r>
      <w:r w:rsidRPr="00906EA7">
        <w:rPr>
          <w:rFonts w:ascii="Times New Roman" w:hAnsi="Times New Roman" w:cs="Times New Roman"/>
          <w:sz w:val="24"/>
          <w:szCs w:val="24"/>
        </w:rPr>
        <w:t xml:space="preserve"> и по сравнению с аналогичным периодом 2018 года неналоговые доходы увеличились на 15,8%. Удельный вес неналоговых доходов в доходах местного бюджета составляет 5,3%. </w:t>
      </w:r>
    </w:p>
    <w:p w:rsidR="00D36F70" w:rsidRPr="00906EA7" w:rsidRDefault="00D36F70"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Наибольшую долю – 3,4% в неналоговых доходах местного бюджета составляют доходы от использования имущества, находящегося в государственной и муниципальной собственности, которые за январь-декабрь 2019</w:t>
      </w:r>
      <w:r w:rsidR="002F016A" w:rsidRPr="00906EA7">
        <w:rPr>
          <w:rFonts w:ascii="Times New Roman" w:hAnsi="Times New Roman" w:cs="Times New Roman"/>
          <w:sz w:val="24"/>
          <w:szCs w:val="24"/>
        </w:rPr>
        <w:t xml:space="preserve"> года составили 176,6 млн руб</w:t>
      </w:r>
      <w:r w:rsidRPr="00906EA7">
        <w:rPr>
          <w:rFonts w:ascii="Times New Roman" w:hAnsi="Times New Roman" w:cs="Times New Roman"/>
          <w:sz w:val="24"/>
          <w:szCs w:val="24"/>
        </w:rPr>
        <w:t>. По сравнению с аналогичным периодом 2018 года данные поступления увеличились на 41,6%.</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Основную часть доходов бюджета городского округа город Мегион составляют безвозмездные поступления от других бюджетов бюджетной системы, что свидетельствует о высокой дотационности городского округа. Безвозмездные поступления за отчетный период снизились по сравнению 2018 годом на 3,3</w:t>
      </w:r>
      <w:r w:rsidR="002F016A" w:rsidRPr="00906EA7">
        <w:rPr>
          <w:rFonts w:ascii="Times New Roman" w:hAnsi="Times New Roman" w:cs="Times New Roman"/>
          <w:sz w:val="24"/>
          <w:szCs w:val="24"/>
        </w:rPr>
        <w:t>% и составили 3 644,1 млн руб</w:t>
      </w:r>
      <w:r w:rsidRPr="00906EA7">
        <w:rPr>
          <w:rFonts w:ascii="Times New Roman" w:hAnsi="Times New Roman" w:cs="Times New Roman"/>
          <w:sz w:val="24"/>
          <w:szCs w:val="24"/>
        </w:rPr>
        <w:t xml:space="preserve">. </w:t>
      </w:r>
    </w:p>
    <w:p w:rsidR="00D36F70" w:rsidRPr="00906EA7" w:rsidRDefault="00D36F70" w:rsidP="00AA7DD6">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В расчете на одного жителя доходы бюджета городского округа город Мегион за январь-декабрь 2019</w:t>
      </w:r>
      <w:r w:rsidR="002F016A" w:rsidRPr="00906EA7">
        <w:rPr>
          <w:rFonts w:ascii="Times New Roman" w:hAnsi="Times New Roman" w:cs="Times New Roman"/>
          <w:sz w:val="24"/>
          <w:szCs w:val="24"/>
        </w:rPr>
        <w:t xml:space="preserve"> года составили 95,3 тыс. руб</w:t>
      </w:r>
      <w:r w:rsidRPr="00906EA7">
        <w:rPr>
          <w:rFonts w:ascii="Times New Roman" w:hAnsi="Times New Roman" w:cs="Times New Roman"/>
          <w:sz w:val="24"/>
          <w:szCs w:val="24"/>
        </w:rPr>
        <w:t>.</w:t>
      </w:r>
      <w:r w:rsidR="00AA7DD6" w:rsidRPr="00906EA7">
        <w:rPr>
          <w:rFonts w:ascii="Times New Roman" w:hAnsi="Times New Roman" w:cs="Times New Roman"/>
          <w:sz w:val="24"/>
          <w:szCs w:val="24"/>
        </w:rPr>
        <w:t>, з</w:t>
      </w:r>
      <w:r w:rsidR="00AA7DD6" w:rsidRPr="00906EA7">
        <w:rPr>
          <w:rFonts w:ascii="Times New Roman" w:eastAsia="Times New Roman" w:hAnsi="Times New Roman" w:cs="Times New Roman"/>
          <w:sz w:val="24"/>
          <w:szCs w:val="24"/>
          <w:lang w:eastAsia="ru-RU"/>
        </w:rPr>
        <w:t>а 2018 год - 93,2 тыс. руб.</w:t>
      </w:r>
    </w:p>
    <w:p w:rsidR="00AA7DD6" w:rsidRPr="00906EA7" w:rsidRDefault="00AA7DD6" w:rsidP="00AA7DD6">
      <w:pPr>
        <w:spacing w:after="0" w:line="240" w:lineRule="auto"/>
        <w:ind w:firstLine="709"/>
        <w:jc w:val="both"/>
        <w:rPr>
          <w:rStyle w:val="af4"/>
          <w:b w:val="0"/>
        </w:rPr>
      </w:pPr>
    </w:p>
    <w:p w:rsidR="00D36F70" w:rsidRPr="00906EA7" w:rsidRDefault="00D36F70" w:rsidP="0097253F">
      <w:pPr>
        <w:pStyle w:val="ab"/>
        <w:spacing w:after="0"/>
        <w:ind w:firstLine="708"/>
        <w:jc w:val="both"/>
        <w:rPr>
          <w:rStyle w:val="af4"/>
          <w:b w:val="0"/>
        </w:rPr>
      </w:pPr>
      <w:r w:rsidRPr="00906EA7">
        <w:rPr>
          <w:rStyle w:val="af4"/>
          <w:b w:val="0"/>
        </w:rPr>
        <w:t>Исполнение местного бюджета по расходам</w:t>
      </w:r>
    </w:p>
    <w:p w:rsidR="00D36F70" w:rsidRPr="00906EA7" w:rsidRDefault="00D36F70" w:rsidP="0097253F">
      <w:pPr>
        <w:pStyle w:val="ab"/>
        <w:spacing w:after="0"/>
        <w:jc w:val="both"/>
      </w:pPr>
    </w:p>
    <w:p w:rsidR="00D36F70" w:rsidRPr="00906EA7" w:rsidRDefault="00D36F70" w:rsidP="0097253F">
      <w:pPr>
        <w:pStyle w:val="ab"/>
        <w:widowControl w:val="0"/>
        <w:suppressAutoHyphens/>
        <w:spacing w:after="0"/>
        <w:ind w:firstLine="709"/>
        <w:jc w:val="both"/>
      </w:pPr>
      <w:r w:rsidRPr="00906EA7">
        <w:t>Основной целью бюджетной политики в области расходов в отчетном периоде являлось обеспечение расходных обязательств городского округа с соблюдением 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результативности бюджетных расходов.</w:t>
      </w:r>
    </w:p>
    <w:p w:rsidR="00D36F70" w:rsidRPr="00906EA7" w:rsidRDefault="00D36F70" w:rsidP="0097253F">
      <w:pPr>
        <w:pStyle w:val="af5"/>
        <w:spacing w:after="0" w:line="240" w:lineRule="auto"/>
        <w:ind w:left="0" w:firstLine="709"/>
        <w:jc w:val="both"/>
        <w:rPr>
          <w:rFonts w:ascii="Times New Roman" w:hAnsi="Times New Roman" w:cs="Times New Roman"/>
          <w:sz w:val="24"/>
          <w:szCs w:val="24"/>
        </w:rPr>
      </w:pPr>
      <w:r w:rsidRPr="00906EA7">
        <w:rPr>
          <w:rFonts w:ascii="Times New Roman" w:hAnsi="Times New Roman" w:cs="Times New Roman"/>
          <w:sz w:val="24"/>
          <w:szCs w:val="24"/>
        </w:rPr>
        <w:t>Расходная часть бюджета городского округа город Мегион на 2019 год утвер</w:t>
      </w:r>
      <w:r w:rsidR="002F016A" w:rsidRPr="00906EA7">
        <w:rPr>
          <w:rFonts w:ascii="Times New Roman" w:hAnsi="Times New Roman" w:cs="Times New Roman"/>
          <w:sz w:val="24"/>
          <w:szCs w:val="24"/>
        </w:rPr>
        <w:t>ждена в сумме 5 790,8 млн руб</w:t>
      </w:r>
      <w:r w:rsidRPr="00906EA7">
        <w:rPr>
          <w:rFonts w:ascii="Times New Roman" w:hAnsi="Times New Roman" w:cs="Times New Roman"/>
          <w:sz w:val="24"/>
          <w:szCs w:val="24"/>
        </w:rPr>
        <w:t xml:space="preserve">. Исполнение консолидированного бюджета городского округа город Мегион за январь-декабрь 2019 </w:t>
      </w:r>
      <w:r w:rsidR="002F016A" w:rsidRPr="00906EA7">
        <w:rPr>
          <w:rFonts w:ascii="Times New Roman" w:hAnsi="Times New Roman" w:cs="Times New Roman"/>
          <w:sz w:val="24"/>
          <w:szCs w:val="24"/>
        </w:rPr>
        <w:t>года составило 5 573,1 млн руб.</w:t>
      </w:r>
      <w:r w:rsidRPr="00906EA7">
        <w:rPr>
          <w:rFonts w:ascii="Times New Roman" w:hAnsi="Times New Roman" w:cs="Times New Roman"/>
          <w:sz w:val="24"/>
          <w:szCs w:val="24"/>
        </w:rPr>
        <w:t>, или 96,2% от плана 2019 года. По сравнению с аналогичным периодом 2018 года расходы увеличились на 17,6%. В разрезе основных направлений структура расходов бюджета городского округа город Мегион сложилась следующим образом.</w:t>
      </w:r>
    </w:p>
    <w:p w:rsidR="00D36F70" w:rsidRPr="00906EA7" w:rsidRDefault="00D36F70" w:rsidP="0097253F">
      <w:pPr>
        <w:pStyle w:val="af5"/>
        <w:spacing w:after="0" w:line="240" w:lineRule="auto"/>
        <w:ind w:left="0" w:firstLine="709"/>
        <w:jc w:val="both"/>
        <w:rPr>
          <w:rFonts w:ascii="Times New Roman" w:hAnsi="Times New Roman" w:cs="Times New Roman"/>
          <w:sz w:val="24"/>
          <w:szCs w:val="24"/>
        </w:rPr>
      </w:pPr>
    </w:p>
    <w:p w:rsidR="00D36F70" w:rsidRPr="00906EA7" w:rsidRDefault="00D36F70" w:rsidP="0097253F">
      <w:pPr>
        <w:pStyle w:val="af5"/>
        <w:spacing w:after="0" w:line="240" w:lineRule="auto"/>
        <w:ind w:left="0" w:firstLine="709"/>
        <w:jc w:val="both"/>
        <w:rPr>
          <w:rFonts w:ascii="Times New Roman" w:hAnsi="Times New Roman" w:cs="Times New Roman"/>
          <w:sz w:val="24"/>
          <w:szCs w:val="24"/>
        </w:rPr>
      </w:pPr>
      <w:r w:rsidRPr="00906EA7">
        <w:rPr>
          <w:rFonts w:ascii="Times New Roman" w:hAnsi="Times New Roman" w:cs="Times New Roman"/>
          <w:sz w:val="24"/>
          <w:szCs w:val="24"/>
        </w:rPr>
        <w:t>Структура расходов бюджета городского округа города Мегион за 2018-2019 годы</w:t>
      </w:r>
    </w:p>
    <w:p w:rsidR="00D36F70" w:rsidRPr="00906EA7" w:rsidRDefault="00D36F70" w:rsidP="0097253F">
      <w:pPr>
        <w:pStyle w:val="af5"/>
        <w:spacing w:after="0" w:line="240" w:lineRule="auto"/>
        <w:ind w:left="0" w:firstLine="709"/>
        <w:jc w:val="both"/>
        <w:rPr>
          <w:rFonts w:ascii="Times New Roman" w:hAnsi="Times New Roman" w:cs="Times New Roman"/>
          <w:sz w:val="24"/>
          <w:szCs w:val="24"/>
        </w:rPr>
      </w:pPr>
    </w:p>
    <w:tbl>
      <w:tblPr>
        <w:tblW w:w="9877" w:type="dxa"/>
        <w:tblLayout w:type="fixed"/>
        <w:tblLook w:val="01E0" w:firstRow="1" w:lastRow="1" w:firstColumn="1" w:lastColumn="1" w:noHBand="0" w:noVBand="0"/>
      </w:tblPr>
      <w:tblGrid>
        <w:gridCol w:w="3283"/>
        <w:gridCol w:w="1554"/>
        <w:gridCol w:w="1555"/>
        <w:gridCol w:w="1825"/>
        <w:gridCol w:w="1660"/>
      </w:tblGrid>
      <w:tr w:rsidR="00D36F70" w:rsidRPr="00906EA7" w:rsidTr="00E86E27">
        <w:trPr>
          <w:trHeight w:val="332"/>
          <w:tblHeader/>
        </w:trPr>
        <w:tc>
          <w:tcPr>
            <w:tcW w:w="3283" w:type="dxa"/>
            <w:vMerge w:val="restart"/>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both"/>
            </w:pP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2018 год</w:t>
            </w: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2019 год</w:t>
            </w:r>
          </w:p>
        </w:tc>
      </w:tr>
      <w:tr w:rsidR="00D36F70" w:rsidRPr="00906EA7" w:rsidTr="00E86E27">
        <w:trPr>
          <w:trHeight w:val="258"/>
          <w:tblHeader/>
        </w:trPr>
        <w:tc>
          <w:tcPr>
            <w:tcW w:w="328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D36F70" w:rsidRPr="00906EA7" w:rsidRDefault="00D36F70" w:rsidP="0097253F">
            <w:pPr>
              <w:tabs>
                <w:tab w:val="center" w:pos="4677"/>
                <w:tab w:val="right" w:pos="9355"/>
              </w:tabs>
              <w:spacing w:after="0" w:line="240" w:lineRule="auto"/>
              <w:jc w:val="both"/>
              <w:rPr>
                <w:rFonts w:ascii="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сумма, млн руб.</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уд. вес %</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сумма, млн  руб.</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уд. вес %</w:t>
            </w:r>
          </w:p>
        </w:tc>
      </w:tr>
      <w:tr w:rsidR="00D36F70" w:rsidRPr="00906EA7" w:rsidTr="00E86E27">
        <w:trPr>
          <w:trHeight w:val="679"/>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Расходы – всего</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4 740,8</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100,0</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5 573,1</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100,0</w:t>
            </w:r>
          </w:p>
        </w:tc>
      </w:tr>
      <w:tr w:rsidR="00D36F70" w:rsidRPr="00906EA7" w:rsidTr="00E86E27">
        <w:trPr>
          <w:trHeight w:val="180"/>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в том числе:</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p>
        </w:tc>
      </w:tr>
      <w:tr w:rsidR="00D36F70" w:rsidRPr="00906EA7" w:rsidTr="00E86E27">
        <w:trPr>
          <w:trHeight w:val="377"/>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Общегосударственные расходы</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458,2</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9,66</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494,4</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8,87</w:t>
            </w:r>
          </w:p>
        </w:tc>
      </w:tr>
      <w:tr w:rsidR="00D36F70" w:rsidRPr="00906EA7" w:rsidTr="00E86E27">
        <w:trPr>
          <w:trHeight w:val="239"/>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Обслуживание государственного и муниципального долга</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0,6</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0,01</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3,8</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0,07</w:t>
            </w:r>
          </w:p>
        </w:tc>
      </w:tr>
      <w:tr w:rsidR="00D36F70" w:rsidRPr="00906EA7" w:rsidTr="00E86E27">
        <w:trPr>
          <w:trHeight w:val="216"/>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Национальная безопасность и правоохранительная деятельность</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42,9</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0,90</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44,8</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0,80</w:t>
            </w:r>
          </w:p>
        </w:tc>
      </w:tr>
      <w:tr w:rsidR="00D36F70" w:rsidRPr="00906EA7" w:rsidTr="00E86E27">
        <w:trPr>
          <w:trHeight w:val="259"/>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Национальная экономика</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490,7</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10,35</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344,0</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6,17</w:t>
            </w:r>
          </w:p>
        </w:tc>
      </w:tr>
      <w:tr w:rsidR="00D36F70" w:rsidRPr="00906EA7" w:rsidTr="00E86E27">
        <w:trPr>
          <w:trHeight w:val="228"/>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Жилищно-коммунальное хозяйство</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665,7</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14,04</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1 128,4</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20,25</w:t>
            </w:r>
          </w:p>
        </w:tc>
      </w:tr>
      <w:tr w:rsidR="00D36F70" w:rsidRPr="00906EA7" w:rsidTr="0097253F">
        <w:trPr>
          <w:trHeight w:val="511"/>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Образование</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2 438,8</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51,44</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2 570,2</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46,12</w:t>
            </w:r>
          </w:p>
        </w:tc>
      </w:tr>
      <w:tr w:rsidR="00D36F70" w:rsidRPr="00906EA7" w:rsidTr="0097253F">
        <w:trPr>
          <w:trHeight w:val="511"/>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lastRenderedPageBreak/>
              <w:t xml:space="preserve">Культура </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243,6</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5,14</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256,1</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4,60</w:t>
            </w:r>
          </w:p>
        </w:tc>
      </w:tr>
      <w:tr w:rsidR="00D36F70" w:rsidRPr="00906EA7" w:rsidTr="00E86E27">
        <w:trPr>
          <w:trHeight w:val="218"/>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Средства массовой информации</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18,7</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0,40</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18,5</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0,33</w:t>
            </w:r>
          </w:p>
        </w:tc>
      </w:tr>
      <w:tr w:rsidR="00D36F70" w:rsidRPr="00906EA7" w:rsidTr="0097253F">
        <w:trPr>
          <w:trHeight w:val="534"/>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Здравоохранение</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0,9</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0,02</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0,6</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0,01</w:t>
            </w:r>
          </w:p>
        </w:tc>
      </w:tr>
      <w:tr w:rsidR="00D36F70" w:rsidRPr="00906EA7" w:rsidTr="0097253F">
        <w:trPr>
          <w:trHeight w:val="534"/>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Физическая культура и спорт</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273,4</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5,77</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194,9</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3,50</w:t>
            </w:r>
          </w:p>
        </w:tc>
      </w:tr>
      <w:tr w:rsidR="00D36F70" w:rsidRPr="00906EA7" w:rsidTr="0097253F">
        <w:trPr>
          <w:trHeight w:val="534"/>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Охрана окружающей среды</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0,2</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0,00</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1,2</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0,02</w:t>
            </w:r>
          </w:p>
        </w:tc>
      </w:tr>
      <w:tr w:rsidR="00D36F70" w:rsidRPr="00906EA7" w:rsidTr="0097253F">
        <w:trPr>
          <w:trHeight w:val="534"/>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Социальная политика</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107,1</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2,26</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516,2</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9,26</w:t>
            </w:r>
          </w:p>
        </w:tc>
      </w:tr>
    </w:tbl>
    <w:p w:rsidR="00D36F70" w:rsidRPr="00906EA7" w:rsidRDefault="00D36F70" w:rsidP="0097253F">
      <w:pPr>
        <w:spacing w:after="0" w:line="240" w:lineRule="auto"/>
        <w:jc w:val="both"/>
        <w:rPr>
          <w:rFonts w:ascii="Times New Roman" w:hAnsi="Times New Roman" w:cs="Times New Roman"/>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Бюджетная политика в сфере расходов консолидированного бюджета городского округа город Мегион была направлена на решение социальных и экономических задач города. Приоритетом являлось обеспечение населения бюджетными услугами отраслей социальной сферы.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финансирование отраслей социальной сферы за 2019 г</w:t>
      </w:r>
      <w:r w:rsidR="002F016A" w:rsidRPr="00906EA7">
        <w:rPr>
          <w:rFonts w:ascii="Times New Roman" w:hAnsi="Times New Roman" w:cs="Times New Roman"/>
          <w:sz w:val="24"/>
          <w:szCs w:val="24"/>
        </w:rPr>
        <w:t>од направлено 3 538,0 млн руб.</w:t>
      </w:r>
      <w:r w:rsidRPr="00906EA7">
        <w:rPr>
          <w:rFonts w:ascii="Times New Roman" w:hAnsi="Times New Roman" w:cs="Times New Roman"/>
          <w:sz w:val="24"/>
          <w:szCs w:val="24"/>
        </w:rPr>
        <w:t xml:space="preserve">, в том числе по разделу </w:t>
      </w:r>
      <w:r w:rsidR="002F016A" w:rsidRPr="00906EA7">
        <w:rPr>
          <w:rFonts w:ascii="Times New Roman" w:hAnsi="Times New Roman" w:cs="Times New Roman"/>
          <w:sz w:val="24"/>
          <w:szCs w:val="24"/>
        </w:rPr>
        <w:t>образование – 2 570,2 млн руб.</w:t>
      </w:r>
      <w:r w:rsidRPr="00906EA7">
        <w:rPr>
          <w:rFonts w:ascii="Times New Roman" w:hAnsi="Times New Roman" w:cs="Times New Roman"/>
          <w:sz w:val="24"/>
          <w:szCs w:val="24"/>
        </w:rPr>
        <w:t>, культура, к</w:t>
      </w:r>
      <w:r w:rsidR="002F016A" w:rsidRPr="00906EA7">
        <w:rPr>
          <w:rFonts w:ascii="Times New Roman" w:hAnsi="Times New Roman" w:cs="Times New Roman"/>
          <w:sz w:val="24"/>
          <w:szCs w:val="24"/>
        </w:rPr>
        <w:t>инематография – 256,1 млн руб.</w:t>
      </w:r>
      <w:r w:rsidRPr="00906EA7">
        <w:rPr>
          <w:rFonts w:ascii="Times New Roman" w:hAnsi="Times New Roman" w:cs="Times New Roman"/>
          <w:sz w:val="24"/>
          <w:szCs w:val="24"/>
        </w:rPr>
        <w:t>, физическая кул</w:t>
      </w:r>
      <w:r w:rsidR="002F016A" w:rsidRPr="00906EA7">
        <w:rPr>
          <w:rFonts w:ascii="Times New Roman" w:hAnsi="Times New Roman" w:cs="Times New Roman"/>
          <w:sz w:val="24"/>
          <w:szCs w:val="24"/>
        </w:rPr>
        <w:t>ьтура и спорт – 194,9 млн руб.</w:t>
      </w:r>
      <w:r w:rsidRPr="00906EA7">
        <w:rPr>
          <w:rFonts w:ascii="Times New Roman" w:hAnsi="Times New Roman" w:cs="Times New Roman"/>
          <w:sz w:val="24"/>
          <w:szCs w:val="24"/>
        </w:rPr>
        <w:t xml:space="preserve">, социальная политика – </w:t>
      </w:r>
      <w:r w:rsidR="002F016A" w:rsidRPr="00906EA7">
        <w:rPr>
          <w:rFonts w:ascii="Times New Roman" w:hAnsi="Times New Roman" w:cs="Times New Roman"/>
          <w:sz w:val="24"/>
          <w:szCs w:val="24"/>
        </w:rPr>
        <w:t>516,2 млн руб</w:t>
      </w:r>
      <w:r w:rsidRPr="00906EA7">
        <w:rPr>
          <w:rFonts w:ascii="Times New Roman" w:hAnsi="Times New Roman" w:cs="Times New Roman"/>
          <w:sz w:val="24"/>
          <w:szCs w:val="24"/>
        </w:rPr>
        <w:t>.</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финансирование других отраслей экономи</w:t>
      </w:r>
      <w:r w:rsidR="002F016A" w:rsidRPr="00906EA7">
        <w:rPr>
          <w:rFonts w:ascii="Times New Roman" w:hAnsi="Times New Roman" w:cs="Times New Roman"/>
          <w:sz w:val="24"/>
          <w:szCs w:val="24"/>
        </w:rPr>
        <w:t>ки направлено 2 035,1 млн руб.</w:t>
      </w:r>
      <w:r w:rsidRPr="00906EA7">
        <w:rPr>
          <w:rFonts w:ascii="Times New Roman" w:hAnsi="Times New Roman" w:cs="Times New Roman"/>
          <w:sz w:val="24"/>
          <w:szCs w:val="24"/>
        </w:rPr>
        <w:t xml:space="preserve">, что составляет 36,5% в общем объеме расходов. </w:t>
      </w:r>
    </w:p>
    <w:p w:rsidR="00D36F70" w:rsidRPr="00906EA7" w:rsidRDefault="00D36F70" w:rsidP="0097253F">
      <w:pPr>
        <w:pStyle w:val="12"/>
        <w:ind w:firstLine="709"/>
        <w:rPr>
          <w:rFonts w:ascii="Times New Roman" w:hAnsi="Times New Roman" w:cs="Times New Roman"/>
          <w:sz w:val="24"/>
          <w:szCs w:val="24"/>
        </w:rPr>
      </w:pPr>
      <w:r w:rsidRPr="00906EA7">
        <w:rPr>
          <w:rFonts w:ascii="Times New Roman" w:hAnsi="Times New Roman" w:cs="Times New Roman"/>
          <w:sz w:val="24"/>
          <w:szCs w:val="24"/>
        </w:rPr>
        <w:t xml:space="preserve">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w:t>
      </w:r>
    </w:p>
    <w:p w:rsidR="00D36F70" w:rsidRPr="00906EA7" w:rsidRDefault="00D36F70" w:rsidP="0097253F">
      <w:pPr>
        <w:tabs>
          <w:tab w:val="left" w:pos="1080"/>
        </w:tabs>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Осуществляется взаимодействие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ПАО «Славнефть-Мегионнефтегаз» в городской бюджет в течение отчетного периода </w:t>
      </w:r>
      <w:r w:rsidR="002F016A" w:rsidRPr="00906EA7">
        <w:rPr>
          <w:rFonts w:ascii="Times New Roman" w:hAnsi="Times New Roman" w:cs="Times New Roman"/>
          <w:sz w:val="24"/>
          <w:szCs w:val="24"/>
        </w:rPr>
        <w:t>поступило 17,9 млн руб.</w:t>
      </w:r>
      <w:r w:rsidRPr="00906EA7">
        <w:rPr>
          <w:rFonts w:ascii="Times New Roman" w:hAnsi="Times New Roman" w:cs="Times New Roman"/>
          <w:sz w:val="24"/>
          <w:szCs w:val="24"/>
        </w:rPr>
        <w:t xml:space="preserve"> на организацию отдыха и оздоровление детей. Кроме того, в бюджет города поступили денежные средства по распоряжениям Правительства Тюменско</w:t>
      </w:r>
      <w:r w:rsidR="002F016A" w:rsidRPr="00906EA7">
        <w:rPr>
          <w:rFonts w:ascii="Times New Roman" w:hAnsi="Times New Roman" w:cs="Times New Roman"/>
          <w:sz w:val="24"/>
          <w:szCs w:val="24"/>
        </w:rPr>
        <w:t>й области в сумме 4,1 млн руб</w:t>
      </w:r>
      <w:r w:rsidRPr="00906EA7">
        <w:rPr>
          <w:rFonts w:ascii="Times New Roman" w:hAnsi="Times New Roman" w:cs="Times New Roman"/>
          <w:sz w:val="24"/>
          <w:szCs w:val="24"/>
        </w:rPr>
        <w:t>. Также заключено Соглашение о благотворительной деятельности между администрацией города Мегиона и ПАО Банк «ФК Откр</w:t>
      </w:r>
      <w:r w:rsidR="002F016A" w:rsidRPr="00906EA7">
        <w:rPr>
          <w:rFonts w:ascii="Times New Roman" w:hAnsi="Times New Roman" w:cs="Times New Roman"/>
          <w:sz w:val="24"/>
          <w:szCs w:val="24"/>
        </w:rPr>
        <w:t>ытие» на сумму 300,0 тыс. руб.</w:t>
      </w:r>
      <w:r w:rsidRPr="00906EA7">
        <w:rPr>
          <w:rFonts w:ascii="Times New Roman" w:hAnsi="Times New Roman" w:cs="Times New Roman"/>
          <w:sz w:val="24"/>
          <w:szCs w:val="24"/>
        </w:rPr>
        <w:t xml:space="preserve"> на празднование 1 мая, 9 мая, дня города и проведение велопробега и Фондом «Меценат» на сумму 368,5 тыс. руб</w:t>
      </w:r>
      <w:r w:rsidR="005D5C16" w:rsidRPr="00906EA7">
        <w:rPr>
          <w:rFonts w:ascii="Times New Roman" w:hAnsi="Times New Roman" w:cs="Times New Roman"/>
          <w:sz w:val="24"/>
          <w:szCs w:val="24"/>
        </w:rPr>
        <w:t>.</w:t>
      </w:r>
      <w:r w:rsidRPr="00906EA7">
        <w:rPr>
          <w:rFonts w:ascii="Times New Roman" w:hAnsi="Times New Roman" w:cs="Times New Roman"/>
          <w:sz w:val="24"/>
          <w:szCs w:val="24"/>
        </w:rPr>
        <w:t xml:space="preserve"> на денежные выплаты участникам ВОВ 1941-1945 годов, инвалидам, вдовам, детям участникам ВОВ 1941-1945, труженикам тыла, узникам концлагерей.</w:t>
      </w:r>
    </w:p>
    <w:p w:rsidR="00D36F70" w:rsidRPr="00906EA7" w:rsidRDefault="00D36F70" w:rsidP="0097253F">
      <w:pPr>
        <w:pStyle w:val="12"/>
        <w:ind w:firstLine="709"/>
        <w:rPr>
          <w:rFonts w:ascii="Times New Roman" w:hAnsi="Times New Roman" w:cs="Times New Roman"/>
          <w:sz w:val="24"/>
          <w:szCs w:val="24"/>
        </w:rPr>
      </w:pPr>
      <w:r w:rsidRPr="00906EA7">
        <w:rPr>
          <w:rFonts w:ascii="Times New Roman" w:hAnsi="Times New Roman" w:cs="Times New Roman"/>
          <w:sz w:val="24"/>
          <w:szCs w:val="24"/>
        </w:rPr>
        <w:t>Для осуществления мер, направленных на ликвидацию задолженности организаций и физических лиц, на территории муниципального образования продолжила работу комиссия по мобилизации доходов в бюджет города. За отчетный период было проведено четыре заседания, на которых рассмотрены следующие вопросы:</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неуплата страховых взносов организациями;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анализ задолженности и принимаемые меры по повышению собираемости неналоговых платежей на территории городского округа город Мегион;</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анализ задолженности и принимаемые меры по повышению собираемости налоговых платежей на территории городского округа город Мегион;</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lastRenderedPageBreak/>
        <w:t xml:space="preserve">отчет о проделанной работе с исполнительными листами, направленными департаментом муниципальной собственности администрации города в адрес отдела Федеральной службы судебных приставов по городу Мегиону.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64 индивидуальными предпринимателями и юридическими лицами проведена разъяснительная работа о необходимости своевременной уплаты платежей в бюджет и о погашении имеющейся задолженности, а также 168 индивидуальным предпринимателям предложено уточнить наличие задолженности по налогам, сборам и принять меры к ее погашению.</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На территории муниципального образования в течение отчетного периода осуществляются мероприятия по информированию населения о погашении задолженности. Информация размещается на официальном сайте администрации города Мегиона в сети «Интернет».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рамках проведенных мероприятий по взысканию задолженности по оплате за муниципальное имущество, включая земельные участки, в бюджет </w:t>
      </w:r>
      <w:r w:rsidR="002F016A" w:rsidRPr="00906EA7">
        <w:rPr>
          <w:rFonts w:ascii="Times New Roman" w:hAnsi="Times New Roman" w:cs="Times New Roman"/>
          <w:sz w:val="24"/>
          <w:szCs w:val="24"/>
        </w:rPr>
        <w:t>города поступило 16,1 млн руб</w:t>
      </w:r>
      <w:r w:rsidRPr="00906EA7">
        <w:rPr>
          <w:rFonts w:ascii="Times New Roman" w:hAnsi="Times New Roman" w:cs="Times New Roman"/>
          <w:sz w:val="24"/>
          <w:szCs w:val="24"/>
        </w:rPr>
        <w:t>.</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реализации решения Думы города Мегиона от 21.12.2018 №327 «О бюджете городского округа город Мегион на 2019 год и плановый период 2020 и 2021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18.01.2019 №64 (с изменениями от 13.12.2019).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План мероприятий включает в себя 12 мероприятий по росту доходов, планируемый бюджетный эффект от мероприятий по росту доход</w:t>
      </w:r>
      <w:r w:rsidR="002F016A" w:rsidRPr="00906EA7">
        <w:rPr>
          <w:rFonts w:ascii="Times New Roman" w:hAnsi="Times New Roman" w:cs="Times New Roman"/>
          <w:sz w:val="24"/>
          <w:szCs w:val="24"/>
        </w:rPr>
        <w:t>ов в 2019 году – 41,8 млн руб</w:t>
      </w:r>
      <w:r w:rsidRPr="00906EA7">
        <w:rPr>
          <w:rFonts w:ascii="Times New Roman" w:hAnsi="Times New Roman" w:cs="Times New Roman"/>
          <w:sz w:val="24"/>
          <w:szCs w:val="24"/>
        </w:rPr>
        <w:t>. Реализация предусмотренных мероприятий осуществлялась в плановом режиме. Бюджетный эффект за 2019 год составил 42,1 млн руб.</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Продолжается работа по сокращению невыясненных платежей. За 2019 год составлены и направлены в Управление Федерального казначейства по Ханты-Мансийскому автономному округу – Югре 506 уведомлений об уточнении вида и принадлежности платежа, которые впоследствии были уточнены и зачислены на соответствующие коды доходов бюджетной классификации.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рамках проведения анализа обоснованности и эффективности применения налоговых льгот, было принято постановление администрации города от 26.07.2011 №1687 «О бюджетной, социальной и экономической эффективности предоставляемых налоговых льгот» (с изменениями), которым утвержден Порядок оценки бюджетной, социальной и экономической эффективности предоставляемых (планируемых к предоставлению) налоговых льгот. В соответствии с нормативно правовым актом осуществляется мониторинг налоговых льгот по земельному налогу и налогу на имущество физических лиц.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только социально незащищенным категориям населения. Анализ обоснованности и эффективности применения льгот по налогам в виде аналитической справки, был размещен на официальном сайте администрации города Мегиона в сети «Интернет».</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рамках реализации плана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2018-2020 годы, утвержденного распоряжением Правительства автономного округа от 16.02.2018 №70-рп. На официальном сайте администрации города в сети «Интернет» и в средствах массовой информации была размещена следующая информация: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информирование налогоплательщиков – собственников недвижимого имущества о необходимости уточнения технических характеристик объектов недвижимости, сведений об их правообладателях по Предварительному перечню на 2020 год;</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предварительный перечень объектов недвижимого имущества, в отношении которых налоговая база определяется как кадастровая стоимость, на 2020 год.</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lastRenderedPageBreak/>
        <w:t>В рамках работы по урегулированию кредиторской и дебиторской задолженности муниципальных учреждений проведены следующие мероприятия:</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целях обеспечения в текущем году снижения общего объема кредиторской задолженности в соответствии с приказом департамента финансов администрации города Мегиона, в рамках сдачи отчетности за 2019 год проводится мониторинг кредиторской задолженности. Итоги проведения мониторинга кредиторской задолженности за 2019 год представляются в Департамент финансов Ханты-Мансийского автономного округа - Югры в составе отчетности.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сроки, установленные приказом Департамента финансов автономного округа – Югры для сдачи годовой, квартальной и месячной бюджетной отчетности об исполнении бюджета городского округа город Мегион, предоставляются сведения о состоянии дебиторской и кредиторской задолженности.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Ежемесячно проводится анализ состояния дебиторской и кредиторской задолженности учреждений городского округа города Мегиона с целью, выявления обоснованности возникновения сумм задолженности.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всем договорам бюджетных кредитов имеются решения Арбитражных судов            в пользу администрации города Мегиона и составлены акты сверок. В рамках взаимодействия по взысканию сумм дебиторской задолженности регулярно направляется информация в юридическое управление администрации города с целью предоставления сведений о реализации решений суда.</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целью взаимодействия по погашению дебиторской задолженности по договорам бюджетных кредитов в Управление федеральной службы судебных приставов по Ханты-Мансийскому автономному округу – Югре направляются письма с реквизитами для перечисления задолженности.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осуществления финансового контроля за задолженностью по налогам и сборам, во избежание возникновения задолженности регулярно проводится мониторинг задолженности по налогам и сборам.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целью выявления и погашения задолженности по налогам, пеням, штрафам проведена совместная работа с Управлением Федеральной налоговой службой по Ханты-Мансийскому автономному округу – Югре. Муниципальным учреждениям направляются письма о незамедлительном погашении имеющейся задолженности.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Проводится работа по восстановлению дебиторской задолженности, числящейся   на балансе учреждений. По состоянию на 01.01.2020 года во</w:t>
      </w:r>
      <w:r w:rsidR="002F016A" w:rsidRPr="00906EA7">
        <w:rPr>
          <w:rFonts w:ascii="Times New Roman" w:hAnsi="Times New Roman" w:cs="Times New Roman"/>
          <w:sz w:val="24"/>
          <w:szCs w:val="24"/>
        </w:rPr>
        <w:t>сстановлено 1 136, 4 тыс. руб.</w:t>
      </w:r>
      <w:r w:rsidRPr="00906EA7">
        <w:rPr>
          <w:rFonts w:ascii="Times New Roman" w:hAnsi="Times New Roman" w:cs="Times New Roman"/>
          <w:sz w:val="24"/>
          <w:szCs w:val="24"/>
        </w:rPr>
        <w:t>, из них в части средств местного бюджета в</w:t>
      </w:r>
      <w:r w:rsidR="002F016A" w:rsidRPr="00906EA7">
        <w:rPr>
          <w:rFonts w:ascii="Times New Roman" w:hAnsi="Times New Roman" w:cs="Times New Roman"/>
          <w:sz w:val="24"/>
          <w:szCs w:val="24"/>
        </w:rPr>
        <w:t>осстановлено 1 122,1 тыс. руб.</w:t>
      </w:r>
      <w:r w:rsidRPr="00906EA7">
        <w:rPr>
          <w:rFonts w:ascii="Times New Roman" w:hAnsi="Times New Roman" w:cs="Times New Roman"/>
          <w:sz w:val="24"/>
          <w:szCs w:val="24"/>
        </w:rPr>
        <w:t xml:space="preserve">, в части </w:t>
      </w:r>
      <w:r w:rsidR="002F016A" w:rsidRPr="00906EA7">
        <w:rPr>
          <w:rFonts w:ascii="Times New Roman" w:hAnsi="Times New Roman" w:cs="Times New Roman"/>
          <w:sz w:val="24"/>
          <w:szCs w:val="24"/>
        </w:rPr>
        <w:t>средств ХМАО 14,3 тыс. руб</w:t>
      </w:r>
      <w:r w:rsidRPr="00906EA7">
        <w:rPr>
          <w:rFonts w:ascii="Times New Roman" w:hAnsi="Times New Roman" w:cs="Times New Roman"/>
          <w:sz w:val="24"/>
          <w:szCs w:val="24"/>
        </w:rPr>
        <w:t>.</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Ежеквартально на заседание Думы города Мегиона представляется отчет о состоянии дебиторской и кредиторской задолженности в разрезе всех муниципальных учреждений.</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Не допускается нецелевое использование субсидий, субвенций и иных межбюджетных трансфертов, полученных из бюджета автономного округа и имеющих целевое назначение.</w:t>
      </w:r>
    </w:p>
    <w:p w:rsidR="00D36F70" w:rsidRPr="00906EA7" w:rsidRDefault="00D36F70" w:rsidP="0097253F">
      <w:pPr>
        <w:spacing w:after="0" w:line="240" w:lineRule="auto"/>
        <w:ind w:firstLine="459"/>
        <w:jc w:val="both"/>
        <w:rPr>
          <w:rFonts w:ascii="Times New Roman" w:hAnsi="Times New Roman" w:cs="Times New Roman"/>
          <w:sz w:val="24"/>
          <w:szCs w:val="24"/>
        </w:rPr>
      </w:pPr>
      <w:r w:rsidRPr="00906EA7">
        <w:rPr>
          <w:rFonts w:ascii="Times New Roman" w:hAnsi="Times New Roman" w:cs="Times New Roman"/>
          <w:sz w:val="24"/>
          <w:szCs w:val="24"/>
        </w:rPr>
        <w:t xml:space="preserve">  </w:t>
      </w:r>
      <w:r w:rsidRPr="00906EA7">
        <w:rPr>
          <w:rFonts w:ascii="Times New Roman" w:hAnsi="Times New Roman" w:cs="Times New Roman"/>
          <w:sz w:val="24"/>
          <w:szCs w:val="24"/>
        </w:rPr>
        <w:tab/>
        <w:t xml:space="preserve">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 по оплате коммунальных услуг. </w:t>
      </w:r>
    </w:p>
    <w:p w:rsidR="005A2708" w:rsidRPr="00906EA7" w:rsidRDefault="00D36F70"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Погашение кредиторской задолженности осуществляется по мере поступления доходов в бюджет городского округа.</w:t>
      </w:r>
    </w:p>
    <w:p w:rsidR="00C906FF" w:rsidRPr="00906EA7" w:rsidRDefault="00C906FF" w:rsidP="0097253F">
      <w:pPr>
        <w:widowControl w:val="0"/>
        <w:spacing w:after="0" w:line="240" w:lineRule="auto"/>
        <w:ind w:firstLine="708"/>
        <w:jc w:val="both"/>
        <w:rPr>
          <w:rFonts w:ascii="Times New Roman" w:eastAsia="Calibri Light" w:hAnsi="Times New Roman" w:cs="Times New Roman"/>
          <w:b/>
          <w:sz w:val="24"/>
          <w:szCs w:val="24"/>
        </w:rPr>
      </w:pPr>
    </w:p>
    <w:p w:rsidR="005A2708" w:rsidRPr="00906EA7" w:rsidRDefault="005A2708" w:rsidP="0097253F">
      <w:pPr>
        <w:widowControl w:val="0"/>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РЕАЛИЗАЦИЯ </w:t>
      </w:r>
      <w:r w:rsidR="00901F85" w:rsidRPr="00906EA7">
        <w:rPr>
          <w:rFonts w:ascii="Times New Roman" w:eastAsia="Calibri Light" w:hAnsi="Times New Roman" w:cs="Times New Roman"/>
          <w:sz w:val="24"/>
          <w:szCs w:val="24"/>
        </w:rPr>
        <w:t>МУНИЦИПАЛЬНЫХ</w:t>
      </w:r>
      <w:r w:rsidRPr="00906EA7">
        <w:rPr>
          <w:rFonts w:ascii="Times New Roman" w:eastAsia="Calibri Light" w:hAnsi="Times New Roman" w:cs="Times New Roman"/>
          <w:sz w:val="24"/>
          <w:szCs w:val="24"/>
        </w:rPr>
        <w:t xml:space="preserve"> ПРОГРАММ</w:t>
      </w:r>
    </w:p>
    <w:p w:rsidR="00584718" w:rsidRPr="00906EA7" w:rsidRDefault="00584718" w:rsidP="0097253F">
      <w:pPr>
        <w:widowControl w:val="0"/>
        <w:spacing w:after="0" w:line="240" w:lineRule="auto"/>
        <w:ind w:firstLine="708"/>
        <w:jc w:val="both"/>
        <w:rPr>
          <w:rFonts w:ascii="Times New Roman" w:eastAsia="Calibri Light" w:hAnsi="Times New Roman" w:cs="Times New Roman"/>
          <w:sz w:val="24"/>
          <w:szCs w:val="24"/>
        </w:rPr>
      </w:pPr>
    </w:p>
    <w:p w:rsidR="00584718" w:rsidRPr="00906EA7" w:rsidRDefault="00584718"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lang w:eastAsia="ru-RU"/>
        </w:rPr>
        <w:t xml:space="preserve">В бюджете городского округа город Мегион на 2019 год запланированы средства на финансирование 22 муниципальных программ. </w:t>
      </w:r>
      <w:r w:rsidRPr="00906EA7">
        <w:rPr>
          <w:rFonts w:ascii="Times New Roman" w:eastAsia="Calibri" w:hAnsi="Times New Roman" w:cs="Times New Roman"/>
          <w:sz w:val="24"/>
          <w:szCs w:val="24"/>
        </w:rPr>
        <w:t xml:space="preserve">В течение текущего года в программы вносились изменения в связи с уточнением сумм финансирования, мероприятий                           по реализации программ. </w:t>
      </w:r>
    </w:p>
    <w:p w:rsidR="00584718" w:rsidRPr="00906EA7" w:rsidRDefault="00584718" w:rsidP="0097253F">
      <w:pPr>
        <w:spacing w:after="0" w:line="240" w:lineRule="auto"/>
        <w:jc w:val="both"/>
        <w:rPr>
          <w:rFonts w:ascii="Times New Roman" w:eastAsia="Calibri" w:hAnsi="Times New Roman" w:cs="Times New Roman"/>
          <w:sz w:val="24"/>
          <w:szCs w:val="24"/>
          <w:lang w:eastAsia="ru-RU"/>
        </w:rPr>
      </w:pPr>
      <w:r w:rsidRPr="00906EA7">
        <w:rPr>
          <w:rFonts w:ascii="Times New Roman" w:eastAsia="Calibri" w:hAnsi="Times New Roman" w:cs="Times New Roman"/>
          <w:sz w:val="24"/>
          <w:szCs w:val="24"/>
        </w:rPr>
        <w:lastRenderedPageBreak/>
        <w:t xml:space="preserve">            Муниципальные программы городского округа город Мегион направлены на решение таких задач как, повышение качества жизни населения, устойчивое развитие экономики города, повышение эффективности муниципального управления.</w:t>
      </w:r>
    </w:p>
    <w:p w:rsidR="00584718" w:rsidRPr="00906EA7" w:rsidRDefault="00584718"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Все утвержденные программы предусматривают софинансирование из бюджетов других уровней.</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На финансирование мероприятий данных программ в 2019 году за счет всех источников финансирования были предусмотрены средства в объеме 5 673,5</w:t>
      </w:r>
      <w:r w:rsidR="002F016A" w:rsidRPr="00906EA7">
        <w:rPr>
          <w:rFonts w:ascii="Times New Roman" w:eastAsia="Calibri" w:hAnsi="Times New Roman" w:cs="Times New Roman"/>
          <w:sz w:val="24"/>
          <w:szCs w:val="24"/>
        </w:rPr>
        <w:t xml:space="preserve"> млн руб.</w:t>
      </w:r>
      <w:r w:rsidRPr="00906EA7">
        <w:rPr>
          <w:rFonts w:ascii="Times New Roman" w:eastAsia="Calibri" w:hAnsi="Times New Roman" w:cs="Times New Roman"/>
          <w:sz w:val="24"/>
          <w:szCs w:val="24"/>
        </w:rPr>
        <w:t>, в том числе за счет:</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федерального бюджета 26,1</w:t>
      </w:r>
      <w:r w:rsidR="002F016A" w:rsidRPr="00906EA7">
        <w:rPr>
          <w:rFonts w:ascii="Times New Roman" w:eastAsia="Times New Roman" w:hAnsi="Times New Roman" w:cs="Times New Roman"/>
          <w:sz w:val="24"/>
          <w:szCs w:val="24"/>
          <w:lang w:eastAsia="ru-RU"/>
        </w:rPr>
        <w:t xml:space="preserve"> млн руб.</w:t>
      </w:r>
      <w:r w:rsidRPr="00906EA7">
        <w:rPr>
          <w:rFonts w:ascii="Times New Roman" w:eastAsia="Times New Roman" w:hAnsi="Times New Roman" w:cs="Times New Roman"/>
          <w:sz w:val="24"/>
          <w:szCs w:val="24"/>
          <w:lang w:eastAsia="ru-RU"/>
        </w:rPr>
        <w:t>;</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окружного бюджета 3 413,6</w:t>
      </w:r>
      <w:r w:rsidR="002F016A" w:rsidRPr="00906EA7">
        <w:rPr>
          <w:rFonts w:ascii="Times New Roman" w:eastAsia="Times New Roman" w:hAnsi="Times New Roman" w:cs="Times New Roman"/>
          <w:sz w:val="24"/>
          <w:szCs w:val="24"/>
          <w:lang w:eastAsia="ru-RU"/>
        </w:rPr>
        <w:t xml:space="preserve"> млн руб.</w:t>
      </w:r>
      <w:r w:rsidRPr="00906EA7">
        <w:rPr>
          <w:rFonts w:ascii="Times New Roman" w:eastAsia="Times New Roman" w:hAnsi="Times New Roman" w:cs="Times New Roman"/>
          <w:sz w:val="24"/>
          <w:szCs w:val="24"/>
          <w:lang w:eastAsia="ru-RU"/>
        </w:rPr>
        <w:t>;</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местного бюджета – 2 233,9 млн руб.</w:t>
      </w:r>
    </w:p>
    <w:p w:rsidR="00584718" w:rsidRPr="00906EA7" w:rsidRDefault="00584718" w:rsidP="0097253F">
      <w:pPr>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2019 год кассовое исполнение мероприятий программ за счет всех источников финансирова</w:t>
      </w:r>
      <w:r w:rsidR="002F016A" w:rsidRPr="00906EA7">
        <w:rPr>
          <w:rFonts w:ascii="Times New Roman" w:eastAsia="Times New Roman" w:hAnsi="Times New Roman" w:cs="Times New Roman"/>
          <w:sz w:val="24"/>
          <w:szCs w:val="24"/>
          <w:lang w:eastAsia="ru-RU"/>
        </w:rPr>
        <w:t>ния составило 5 456,3 млн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96,2% от предусмотренного финансирования на 2019 год, в том числе за счет средств:</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федеральн</w:t>
      </w:r>
      <w:r w:rsidR="003E2806" w:rsidRPr="00906EA7">
        <w:rPr>
          <w:rFonts w:ascii="Times New Roman" w:eastAsia="Times New Roman" w:hAnsi="Times New Roman" w:cs="Times New Roman"/>
          <w:sz w:val="24"/>
          <w:szCs w:val="24"/>
          <w:lang w:eastAsia="ru-RU"/>
        </w:rPr>
        <w:t>ого бюджета 24,5 млн руб.</w:t>
      </w:r>
      <w:r w:rsidRPr="00906EA7">
        <w:rPr>
          <w:rFonts w:ascii="Times New Roman" w:eastAsia="Times New Roman" w:hAnsi="Times New Roman" w:cs="Times New Roman"/>
          <w:sz w:val="24"/>
          <w:szCs w:val="24"/>
          <w:lang w:eastAsia="ru-RU"/>
        </w:rPr>
        <w:t xml:space="preserve"> (93,8%);</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ок</w:t>
      </w:r>
      <w:r w:rsidR="003E2806" w:rsidRPr="00906EA7">
        <w:rPr>
          <w:rFonts w:ascii="Times New Roman" w:eastAsia="Times New Roman" w:hAnsi="Times New Roman" w:cs="Times New Roman"/>
          <w:sz w:val="24"/>
          <w:szCs w:val="24"/>
          <w:lang w:eastAsia="ru-RU"/>
        </w:rPr>
        <w:t>ружного бюджета 3 317,1 млн руб.</w:t>
      </w:r>
      <w:r w:rsidRPr="00906EA7">
        <w:rPr>
          <w:rFonts w:ascii="Times New Roman" w:eastAsia="Times New Roman" w:hAnsi="Times New Roman" w:cs="Times New Roman"/>
          <w:sz w:val="24"/>
          <w:szCs w:val="24"/>
          <w:lang w:eastAsia="ru-RU"/>
        </w:rPr>
        <w:t xml:space="preserve"> (97,2%);</w:t>
      </w:r>
    </w:p>
    <w:p w:rsidR="00584718" w:rsidRPr="00906EA7" w:rsidRDefault="00584718" w:rsidP="0097253F">
      <w:pPr>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местного бюджета – 2 114,7 млн руб</w:t>
      </w:r>
      <w:r w:rsidR="003E280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(94,7%).</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Оценка эффективности муниципальных программ проводится в соответствии с постановлением администрации города от 04.02.2016 №176 «О методике оценки эффективности реализации муниципальных программ городского округа город Мегион».</w:t>
      </w:r>
    </w:p>
    <w:p w:rsidR="00584718" w:rsidRPr="00906EA7" w:rsidRDefault="00584718"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Основным критерием оценки эффективности муниципальных программ является уровень финансового обеспечения программы.</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Из 22 муниципальных программ с наилучшим результатом (100%) исполнены пять программ:</w:t>
      </w:r>
    </w:p>
    <w:p w:rsidR="00584718" w:rsidRPr="00906EA7" w:rsidRDefault="00584718" w:rsidP="0097253F">
      <w:pPr>
        <w:spacing w:after="0" w:line="240" w:lineRule="auto"/>
        <w:ind w:firstLine="709"/>
        <w:jc w:val="both"/>
        <w:rPr>
          <w:rFonts w:ascii="Times New Roman" w:eastAsia="Calibri" w:hAnsi="Times New Roman" w:cs="Times New Roman"/>
          <w:noProof/>
          <w:sz w:val="24"/>
          <w:szCs w:val="24"/>
          <w:lang w:eastAsia="ru-RU"/>
        </w:rPr>
      </w:pPr>
      <w:r w:rsidRPr="00906EA7">
        <w:rPr>
          <w:rFonts w:ascii="Times New Roman" w:eastAsia="Calibri" w:hAnsi="Times New Roman" w:cs="Times New Roman"/>
          <w:sz w:val="24"/>
          <w:szCs w:val="24"/>
        </w:rPr>
        <w:t>«Поддержка и развитие малого и среднего предпринимательства на территории городского округа город Мегион на 2019-2025 годы», «Поддержка социально-ориентированных некоммерческих организаций на 2019-2025 годы», «Формирование доступной среды для инвалидов и других маломобильных групп населения на территории городского округа город Мегион на 2019-2025 годы», «Развитие муниципальной службы в городском округе город Мегион на 2019-2025 годы», «Укрепление межнационального и межконфессионального согласия, профилактика экстремизма и терроризма в городском округе город Мегигн на 2019-2025 годы».</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Исполнение более 90% составило по 15 программам. </w:t>
      </w:r>
      <w:r w:rsidR="00EC08F0" w:rsidRPr="00906EA7">
        <w:rPr>
          <w:rFonts w:ascii="Times New Roman" w:eastAsia="Calibri" w:hAnsi="Times New Roman" w:cs="Times New Roman"/>
          <w:sz w:val="24"/>
          <w:szCs w:val="24"/>
        </w:rPr>
        <w:t>По 2-м программам исполнение менее 90%.</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 «Мероприятия в области градостроительной деятельности городского округа город Мегион на 2019-20205 годы» - 82,6%;</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 - 65,9%.</w:t>
      </w:r>
    </w:p>
    <w:p w:rsidR="00EC08F0" w:rsidRPr="00906EA7" w:rsidRDefault="00EC08F0" w:rsidP="0097253F">
      <w:pPr>
        <w:spacing w:after="0" w:line="240" w:lineRule="auto"/>
        <w:ind w:firstLine="709"/>
        <w:jc w:val="both"/>
        <w:rPr>
          <w:rFonts w:ascii="Times New Roman" w:eastAsia="Calibri" w:hAnsi="Times New Roman" w:cs="Times New Roman"/>
          <w:sz w:val="24"/>
          <w:szCs w:val="24"/>
        </w:rPr>
      </w:pPr>
    </w:p>
    <w:p w:rsidR="00EC08F0" w:rsidRPr="00EC08F0" w:rsidRDefault="00EC08F0" w:rsidP="00EC08F0">
      <w:pPr>
        <w:autoSpaceDE w:val="0"/>
        <w:autoSpaceDN w:val="0"/>
        <w:spacing w:before="40" w:after="40" w:line="240" w:lineRule="auto"/>
        <w:jc w:val="center"/>
        <w:rPr>
          <w:rFonts w:ascii="Calibri" w:eastAsia="Times New Roman" w:hAnsi="Calibri" w:cs="Times New Roman"/>
          <w:lang w:eastAsia="ru-RU"/>
        </w:rPr>
      </w:pPr>
      <w:r w:rsidRPr="00EC08F0">
        <w:rPr>
          <w:rFonts w:ascii="Times New Roman CYR" w:eastAsia="Times New Roman" w:hAnsi="Times New Roman CYR" w:cs="Times New Roman CYR"/>
          <w:sz w:val="24"/>
          <w:szCs w:val="24"/>
          <w:lang w:eastAsia="ru-RU"/>
        </w:rPr>
        <w:t>Исполнение расходных обязательств по муниципальным программам городского округа город Мегион за 2019 год</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110"/>
        <w:gridCol w:w="1559"/>
      </w:tblGrid>
      <w:tr w:rsidR="00584718" w:rsidRPr="00906EA7" w:rsidTr="0097253F">
        <w:trPr>
          <w:trHeight w:val="992"/>
          <w:tblHeader/>
        </w:trPr>
        <w:tc>
          <w:tcPr>
            <w:tcW w:w="8110"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autoSpaceDE w:val="0"/>
              <w:autoSpaceDN w:val="0"/>
              <w:adjustRightInd w:val="0"/>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autoSpaceDE w:val="0"/>
              <w:autoSpaceDN w:val="0"/>
              <w:adjustRightInd w:val="0"/>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Процент исполнения к плановому значению</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Поддержка и развитие малого и среднего предпринимательства на территории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258"/>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Поддержка социально - ориентированных некоммерческих организаций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lastRenderedPageBreak/>
              <w:t>Формирование доступной среды для инвалидов и других маломобильных групп населения на территории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муниципальной службы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Улучшение условий и охраны труда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99,7</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Управление муниципальными финансами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99,2</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Формирование современной городской среды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99,2</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культуры и туризма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98,7</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Информационное обеспечение деятельности органов местного самоуправления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97,9</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информационного общества на территории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97,9</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системы обращения с отходами производства и потребления на территории городского округа город Мегион на 2019- 2025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97,6</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муниципального управления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97,2</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физической культуры и спорта в муниципальном образовании город Мегион на 2019 - 2025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системы образования и молодежной политики городского округа город Мегион на 2014 год и плановый период 2019-2025 годов</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96,7</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системы гражданской защиты населения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96,5</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жилищной сферы на территории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95,0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жилищно-коммунального комплекса и повышение энергетической эффективности в городском округе город Мегион на 2019 -2025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94,3</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Управление муниципальным имуществом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93,1</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транспортной системы городского округа город Мегион на 2019 -2025 годы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91,7</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Мероприятия в области градостроительной деятельности городского округа город Мегион на 2019-20205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82,6</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65,9</w:t>
            </w:r>
          </w:p>
        </w:tc>
      </w:tr>
    </w:tbl>
    <w:p w:rsidR="00D50558" w:rsidRPr="00906EA7" w:rsidRDefault="00D50558" w:rsidP="0097253F">
      <w:pPr>
        <w:spacing w:after="0" w:line="240" w:lineRule="auto"/>
        <w:ind w:firstLine="709"/>
        <w:rPr>
          <w:rFonts w:ascii="Times New Roman" w:eastAsia="Calibri" w:hAnsi="Times New Roman" w:cs="Times New Roman"/>
          <w:sz w:val="24"/>
          <w:szCs w:val="24"/>
        </w:rPr>
      </w:pP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2019 году городской округ город Мегион включен в реализацию                                16 государственных программ.</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lastRenderedPageBreak/>
        <w:t>План финансирования государственных программ за счет всех источников финансирования на 2019 год со</w:t>
      </w:r>
      <w:r w:rsidR="003E2806" w:rsidRPr="00906EA7">
        <w:rPr>
          <w:rFonts w:ascii="Times New Roman" w:eastAsia="Calibri" w:hAnsi="Times New Roman" w:cs="Times New Roman"/>
          <w:sz w:val="24"/>
          <w:szCs w:val="24"/>
        </w:rPr>
        <w:t>ставляет 3 642 106,1 тыс. руб.</w:t>
      </w:r>
      <w:r w:rsidRPr="00906EA7">
        <w:rPr>
          <w:rFonts w:ascii="Times New Roman" w:eastAsia="Calibri" w:hAnsi="Times New Roman" w:cs="Times New Roman"/>
          <w:sz w:val="24"/>
          <w:szCs w:val="24"/>
        </w:rPr>
        <w:t>, в том числе:</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федеральн</w:t>
      </w:r>
      <w:r w:rsidR="003E2806" w:rsidRPr="00906EA7">
        <w:rPr>
          <w:rFonts w:ascii="Times New Roman" w:eastAsia="Calibri" w:hAnsi="Times New Roman" w:cs="Times New Roman"/>
          <w:sz w:val="24"/>
          <w:szCs w:val="24"/>
        </w:rPr>
        <w:t>ый бюджет – 31 403,0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бюджет автономного </w:t>
      </w:r>
      <w:r w:rsidR="003E2806" w:rsidRPr="00906EA7">
        <w:rPr>
          <w:rFonts w:ascii="Times New Roman" w:eastAsia="Calibri" w:hAnsi="Times New Roman" w:cs="Times New Roman"/>
          <w:sz w:val="24"/>
          <w:szCs w:val="24"/>
        </w:rPr>
        <w:t>округа – 3 475 854,2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местны</w:t>
      </w:r>
      <w:r w:rsidR="003E2806" w:rsidRPr="00906EA7">
        <w:rPr>
          <w:rFonts w:ascii="Times New Roman" w:eastAsia="Calibri" w:hAnsi="Times New Roman" w:cs="Times New Roman"/>
          <w:sz w:val="24"/>
          <w:szCs w:val="24"/>
        </w:rPr>
        <w:t>й бюджет – 134 848,9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За январь - декабрь 2019 года в бюджет города на реализацию государственных программ п</w:t>
      </w:r>
      <w:r w:rsidR="003E2806" w:rsidRPr="00906EA7">
        <w:rPr>
          <w:rFonts w:ascii="Times New Roman" w:eastAsia="Calibri" w:hAnsi="Times New Roman" w:cs="Times New Roman"/>
          <w:sz w:val="24"/>
          <w:szCs w:val="24"/>
        </w:rPr>
        <w:t>оступило 3 555 499,0 тыс. руб.</w:t>
      </w:r>
      <w:r w:rsidRPr="00906EA7">
        <w:rPr>
          <w:rFonts w:ascii="Times New Roman" w:eastAsia="Calibri" w:hAnsi="Times New Roman" w:cs="Times New Roman"/>
          <w:sz w:val="24"/>
          <w:szCs w:val="24"/>
        </w:rPr>
        <w:t>, или 97,6% от плановых назначений</w:t>
      </w:r>
      <w:r w:rsidRPr="00906EA7">
        <w:rPr>
          <w:rFonts w:ascii="Times New Roman" w:eastAsia="Calibri" w:hAnsi="Times New Roman" w:cs="Times New Roman"/>
          <w:b/>
          <w:sz w:val="24"/>
          <w:szCs w:val="24"/>
        </w:rPr>
        <w:t xml:space="preserve">, </w:t>
      </w:r>
      <w:r w:rsidRPr="00906EA7">
        <w:rPr>
          <w:rFonts w:ascii="Times New Roman" w:eastAsia="Calibri" w:hAnsi="Times New Roman" w:cs="Times New Roman"/>
          <w:sz w:val="24"/>
          <w:szCs w:val="24"/>
        </w:rPr>
        <w:t>в том числе:</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федеральн</w:t>
      </w:r>
      <w:r w:rsidR="003E2806" w:rsidRPr="00906EA7">
        <w:rPr>
          <w:rFonts w:ascii="Times New Roman" w:eastAsia="Calibri" w:hAnsi="Times New Roman" w:cs="Times New Roman"/>
          <w:sz w:val="24"/>
          <w:szCs w:val="24"/>
        </w:rPr>
        <w:t>ый бюджет – 29 792,6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бюджет автономного </w:t>
      </w:r>
      <w:r w:rsidR="003E2806" w:rsidRPr="00906EA7">
        <w:rPr>
          <w:rFonts w:ascii="Times New Roman" w:eastAsia="Calibri" w:hAnsi="Times New Roman" w:cs="Times New Roman"/>
          <w:sz w:val="24"/>
          <w:szCs w:val="24"/>
        </w:rPr>
        <w:t>округа – 3 396 115,8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местны</w:t>
      </w:r>
      <w:r w:rsidR="003E2806" w:rsidRPr="00906EA7">
        <w:rPr>
          <w:rFonts w:ascii="Times New Roman" w:eastAsia="Calibri" w:hAnsi="Times New Roman" w:cs="Times New Roman"/>
          <w:sz w:val="24"/>
          <w:szCs w:val="24"/>
        </w:rPr>
        <w:t>й бюджет – 129 590,6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По состоянию на 01.01.2020 освоение средств, поступивших на реализацию государственных программ, сос</w:t>
      </w:r>
      <w:r w:rsidR="003E2806" w:rsidRPr="00906EA7">
        <w:rPr>
          <w:rFonts w:ascii="Times New Roman" w:eastAsia="Calibri" w:hAnsi="Times New Roman" w:cs="Times New Roman"/>
          <w:sz w:val="24"/>
          <w:szCs w:val="24"/>
        </w:rPr>
        <w:t>тавило – 3 538 764,3 тыс. руб.</w:t>
      </w:r>
      <w:r w:rsidRPr="00906EA7">
        <w:rPr>
          <w:rFonts w:ascii="Times New Roman" w:eastAsia="Calibri" w:hAnsi="Times New Roman" w:cs="Times New Roman"/>
          <w:sz w:val="24"/>
          <w:szCs w:val="24"/>
        </w:rPr>
        <w:t>, или 99,5% к финансированию (97,2% от плана), в том числе:</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федеральн</w:t>
      </w:r>
      <w:r w:rsidR="003E2806" w:rsidRPr="00906EA7">
        <w:rPr>
          <w:rFonts w:ascii="Times New Roman" w:eastAsia="Calibri" w:hAnsi="Times New Roman" w:cs="Times New Roman"/>
          <w:sz w:val="24"/>
          <w:szCs w:val="24"/>
        </w:rPr>
        <w:t>ый бюджет – 29 792,6 тыс. руб.</w:t>
      </w:r>
      <w:r w:rsidRPr="00906EA7">
        <w:rPr>
          <w:rFonts w:ascii="Times New Roman" w:eastAsia="Calibri" w:hAnsi="Times New Roman" w:cs="Times New Roman"/>
          <w:sz w:val="24"/>
          <w:szCs w:val="24"/>
        </w:rPr>
        <w:t xml:space="preserve"> или 100,0% к финансированию 2019 года (94,9% от плана);</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бюджет автономного </w:t>
      </w:r>
      <w:r w:rsidR="003E2806" w:rsidRPr="00906EA7">
        <w:rPr>
          <w:rFonts w:ascii="Times New Roman" w:eastAsia="Calibri" w:hAnsi="Times New Roman" w:cs="Times New Roman"/>
          <w:sz w:val="24"/>
          <w:szCs w:val="24"/>
        </w:rPr>
        <w:t>округа – 3 379 381,1 тыс. руб.</w:t>
      </w:r>
      <w:r w:rsidRPr="00906EA7">
        <w:rPr>
          <w:rFonts w:ascii="Times New Roman" w:eastAsia="Calibri" w:hAnsi="Times New Roman" w:cs="Times New Roman"/>
          <w:sz w:val="24"/>
          <w:szCs w:val="24"/>
        </w:rPr>
        <w:t xml:space="preserve"> или 99,5% к финансированию 2019 года (97,2% от плана);</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местны</w:t>
      </w:r>
      <w:r w:rsidR="003E2806" w:rsidRPr="00906EA7">
        <w:rPr>
          <w:rFonts w:ascii="Times New Roman" w:eastAsia="Calibri" w:hAnsi="Times New Roman" w:cs="Times New Roman"/>
          <w:sz w:val="24"/>
          <w:szCs w:val="24"/>
        </w:rPr>
        <w:t>й бюджет – 129 590,6 тыс. руб.</w:t>
      </w:r>
      <w:r w:rsidRPr="00906EA7">
        <w:rPr>
          <w:rFonts w:ascii="Times New Roman" w:eastAsia="Calibri" w:hAnsi="Times New Roman" w:cs="Times New Roman"/>
          <w:sz w:val="24"/>
          <w:szCs w:val="24"/>
        </w:rPr>
        <w:t>, или 100,0% к финансированию 2019 года (96,1% от плана).</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За январь - декабрь 2019 года достигнуты следующие значения исполнения программ: </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1701"/>
        <w:gridCol w:w="1275"/>
      </w:tblGrid>
      <w:tr w:rsidR="00584718" w:rsidRPr="00906EA7" w:rsidTr="006C280B">
        <w:trPr>
          <w:tblHeader/>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 п/п</w:t>
            </w:r>
          </w:p>
        </w:tc>
        <w:tc>
          <w:tcPr>
            <w:tcW w:w="6095"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Наименование программы</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 исполнения от выделенного финансирования</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 исполнения от плана</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«Реализация государственной национальной политики и профилактика экстремизма»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241"/>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«Современная транспортная система»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651B1B" w:rsidRPr="00906EA7" w:rsidTr="00651B1B">
        <w:trPr>
          <w:trHeight w:val="413"/>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3</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«Современное здравоохранение»</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651B1B" w:rsidRPr="00906EA7" w:rsidTr="00651B1B">
        <w:trPr>
          <w:trHeight w:val="407"/>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«Культурное пространство»</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99,9</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5</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государственной гражданской и муниципальной службы»</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99,9</w:t>
            </w:r>
          </w:p>
        </w:tc>
      </w:tr>
      <w:tr w:rsidR="00651B1B" w:rsidRPr="00906EA7" w:rsidTr="00651B1B">
        <w:trPr>
          <w:trHeight w:val="420"/>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«Поддержка занятости населения»</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99,8</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7</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«Профилактика правонарушений и обеспечение отдельных прав граждан»</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99,7</w:t>
            </w:r>
          </w:p>
        </w:tc>
      </w:tr>
      <w:tr w:rsidR="00651B1B" w:rsidRPr="00906EA7" w:rsidTr="00651B1B">
        <w:trPr>
          <w:trHeight w:val="421"/>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8</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экономического потенциала»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99,2</w:t>
            </w:r>
          </w:p>
        </w:tc>
      </w:tr>
      <w:tr w:rsidR="00651B1B" w:rsidRPr="00906EA7" w:rsidTr="00651B1B">
        <w:trPr>
          <w:trHeight w:val="443"/>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агропромышленного комплекса»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98,9</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физической культуры и спорта»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97,7</w:t>
            </w:r>
          </w:p>
        </w:tc>
      </w:tr>
      <w:tr w:rsidR="00651B1B" w:rsidRPr="00906EA7" w:rsidTr="00651B1B">
        <w:trPr>
          <w:trHeight w:val="397"/>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11</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«Экологическая безопасность»</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97,5</w:t>
            </w:r>
          </w:p>
        </w:tc>
      </w:tr>
      <w:tr w:rsidR="00651B1B" w:rsidRPr="00906EA7" w:rsidTr="00651B1B">
        <w:trPr>
          <w:trHeight w:val="39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жилищной сферы»</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95,7</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13</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«Жилищно-коммунальный комплекс и городская среда»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99,9</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96,9</w:t>
            </w:r>
          </w:p>
        </w:tc>
      </w:tr>
      <w:tr w:rsidR="00651B1B" w:rsidRPr="00906EA7" w:rsidTr="00651B1B">
        <w:trPr>
          <w:trHeight w:val="431"/>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14</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образования»</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99,9</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98,9</w:t>
            </w:r>
          </w:p>
        </w:tc>
      </w:tr>
      <w:tr w:rsidR="00651B1B" w:rsidRPr="00906EA7" w:rsidTr="00651B1B">
        <w:trPr>
          <w:trHeight w:val="423"/>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15</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«Социальное и демографическое развитие»</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86,6</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85,7</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16</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«Создание условий для эффективного управления муниципальными финансами»</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0,0</w:t>
            </w:r>
          </w:p>
        </w:tc>
      </w:tr>
    </w:tbl>
    <w:p w:rsidR="00584718" w:rsidRPr="00906EA7" w:rsidRDefault="00584718" w:rsidP="0097253F">
      <w:pPr>
        <w:suppressAutoHyphens/>
        <w:spacing w:after="0" w:line="240" w:lineRule="auto"/>
        <w:ind w:firstLine="709"/>
        <w:contextualSpacing/>
        <w:jc w:val="both"/>
        <w:rPr>
          <w:rFonts w:ascii="Times New Roman" w:eastAsia="Calibri" w:hAnsi="Times New Roman" w:cs="Times New Roman"/>
          <w:sz w:val="24"/>
          <w:szCs w:val="24"/>
        </w:rPr>
      </w:pPr>
    </w:p>
    <w:p w:rsidR="00584718" w:rsidRPr="00906EA7" w:rsidRDefault="00584718" w:rsidP="0097253F">
      <w:pPr>
        <w:suppressAutoHyphens/>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lastRenderedPageBreak/>
        <w:t>В соответствии с постановлением Правительства Ханты-Мансийского автономного округа – Югры от 01.03.2019 №68-п «</w:t>
      </w:r>
      <w:r w:rsidRPr="00906EA7">
        <w:rPr>
          <w:rFonts w:ascii="Times New Roman" w:eastAsia="Calibri" w:hAnsi="Times New Roman" w:cs="Times New Roman"/>
          <w:sz w:val="24"/>
          <w:szCs w:val="24"/>
          <w:lang w:eastAsia="zh-CN"/>
        </w:rPr>
        <w:t xml:space="preserve">О внесении изменения в постановление Правительства Ханты-Мансийского автономного округа – Югры от 30.11.2018 №450-п «Об Адресной инвестиционной программе Ханты-Мансийского автономного округа – Югры на 2019 год и на плановый период 2020 и 2021 годов» </w:t>
      </w:r>
      <w:r w:rsidRPr="00906EA7">
        <w:rPr>
          <w:rFonts w:ascii="Times New Roman" w:eastAsia="Calibri" w:hAnsi="Times New Roman" w:cs="Times New Roman"/>
          <w:sz w:val="24"/>
          <w:szCs w:val="24"/>
        </w:rPr>
        <w:t xml:space="preserve">в Адресную инвестиционную программу включены два объекта. Объем капитальных вложений на 2019 год на строительство объектов муниципальной собственности в рамках Адресной инвестиционной программы Ханты – Мансийского автономного округа – Югры </w:t>
      </w:r>
      <w:r w:rsidR="003E2806" w:rsidRPr="00906EA7">
        <w:rPr>
          <w:rFonts w:ascii="Times New Roman" w:eastAsia="Calibri" w:hAnsi="Times New Roman" w:cs="Times New Roman"/>
          <w:sz w:val="24"/>
          <w:szCs w:val="24"/>
        </w:rPr>
        <w:t>составляет 138 906,4 тыс. руб.</w:t>
      </w:r>
      <w:r w:rsidRPr="00906EA7">
        <w:rPr>
          <w:rFonts w:ascii="Times New Roman" w:eastAsia="Calibri" w:hAnsi="Times New Roman" w:cs="Times New Roman"/>
          <w:sz w:val="24"/>
          <w:szCs w:val="24"/>
        </w:rPr>
        <w:t>, в том числе:</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окружно</w:t>
      </w:r>
      <w:r w:rsidR="003E2806" w:rsidRPr="00906EA7">
        <w:rPr>
          <w:rFonts w:ascii="Times New Roman" w:eastAsia="Calibri" w:hAnsi="Times New Roman" w:cs="Times New Roman"/>
          <w:sz w:val="24"/>
          <w:szCs w:val="24"/>
        </w:rPr>
        <w:t>й бюджет – 130 001,6 тыс. руб.</w:t>
      </w:r>
      <w:r w:rsidRPr="00906EA7">
        <w:rPr>
          <w:rFonts w:ascii="Times New Roman" w:eastAsia="Calibri" w:hAnsi="Times New Roman" w:cs="Times New Roman"/>
          <w:sz w:val="24"/>
          <w:szCs w:val="24"/>
        </w:rPr>
        <w:t>;</w:t>
      </w:r>
    </w:p>
    <w:p w:rsidR="00584718" w:rsidRPr="00906EA7" w:rsidRDefault="00584718" w:rsidP="0097253F">
      <w:pPr>
        <w:shd w:val="clear" w:color="auto" w:fill="FFFFFF" w:themeFill="background1"/>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мест</w:t>
      </w:r>
      <w:r w:rsidR="003E2806" w:rsidRPr="00906EA7">
        <w:rPr>
          <w:rFonts w:ascii="Times New Roman" w:eastAsia="Calibri" w:hAnsi="Times New Roman" w:cs="Times New Roman"/>
          <w:sz w:val="24"/>
          <w:szCs w:val="24"/>
        </w:rPr>
        <w:t>ный бюджет – 8 904,8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highlight w:val="yellow"/>
        </w:rPr>
      </w:pPr>
    </w:p>
    <w:tbl>
      <w:tblPr>
        <w:tblStyle w:val="32"/>
        <w:tblW w:w="0" w:type="auto"/>
        <w:tblLook w:val="04A0" w:firstRow="1" w:lastRow="0" w:firstColumn="1" w:lastColumn="0" w:noHBand="0" w:noVBand="1"/>
      </w:tblPr>
      <w:tblGrid>
        <w:gridCol w:w="1526"/>
        <w:gridCol w:w="8214"/>
      </w:tblGrid>
      <w:tr w:rsidR="00584718" w:rsidRPr="00906EA7" w:rsidTr="001875D3">
        <w:trPr>
          <w:trHeight w:val="637"/>
        </w:trPr>
        <w:tc>
          <w:tcPr>
            <w:tcW w:w="1526" w:type="dxa"/>
            <w:vMerge w:val="restart"/>
            <w:textDirection w:val="btLr"/>
          </w:tcPr>
          <w:p w:rsidR="00584718" w:rsidRPr="00906EA7" w:rsidRDefault="00584718" w:rsidP="0097253F">
            <w:pPr>
              <w:jc w:val="center"/>
              <w:rPr>
                <w:rFonts w:ascii="Times New Roman" w:hAnsi="Times New Roman"/>
                <w:sz w:val="24"/>
                <w:szCs w:val="24"/>
              </w:rPr>
            </w:pPr>
            <w:r w:rsidRPr="00906EA7">
              <w:rPr>
                <w:rFonts w:ascii="Times New Roman" w:hAnsi="Times New Roman"/>
                <w:sz w:val="24"/>
                <w:szCs w:val="24"/>
              </w:rPr>
              <w:t>Объем кап. вложений: 138 906,4 тыс.руб.</w:t>
            </w:r>
          </w:p>
          <w:p w:rsidR="00584718" w:rsidRPr="00906EA7" w:rsidRDefault="00584718" w:rsidP="0097253F">
            <w:pPr>
              <w:jc w:val="center"/>
              <w:rPr>
                <w:rFonts w:ascii="Times New Roman" w:hAnsi="Times New Roman"/>
                <w:sz w:val="24"/>
                <w:szCs w:val="24"/>
              </w:rPr>
            </w:pPr>
            <w:r w:rsidRPr="00906EA7">
              <w:rPr>
                <w:rFonts w:ascii="Times New Roman" w:hAnsi="Times New Roman"/>
                <w:sz w:val="24"/>
                <w:szCs w:val="24"/>
              </w:rPr>
              <w:t>в том числе: бюджет ХМАО - Югры – 130 001,6 тыс.руб.</w:t>
            </w:r>
          </w:p>
          <w:p w:rsidR="00584718" w:rsidRPr="00906EA7" w:rsidRDefault="001875D3" w:rsidP="001875D3">
            <w:pPr>
              <w:jc w:val="center"/>
              <w:rPr>
                <w:rFonts w:ascii="Times New Roman" w:hAnsi="Times New Roman"/>
                <w:sz w:val="24"/>
                <w:szCs w:val="24"/>
              </w:rPr>
            </w:pPr>
            <w:r w:rsidRPr="00906EA7">
              <w:rPr>
                <w:rFonts w:ascii="Times New Roman" w:hAnsi="Times New Roman"/>
                <w:sz w:val="24"/>
                <w:szCs w:val="24"/>
              </w:rPr>
              <w:t>бюджет МО – 8 904,8 тыс.руб.</w:t>
            </w:r>
          </w:p>
        </w:tc>
        <w:tc>
          <w:tcPr>
            <w:tcW w:w="8214" w:type="dxa"/>
            <w:vAlign w:val="center"/>
          </w:tcPr>
          <w:p w:rsidR="00584718" w:rsidRPr="00906EA7" w:rsidRDefault="00584718" w:rsidP="0097253F">
            <w:pPr>
              <w:jc w:val="both"/>
              <w:rPr>
                <w:rFonts w:ascii="Times New Roman" w:hAnsi="Times New Roman"/>
                <w:sz w:val="24"/>
                <w:szCs w:val="24"/>
              </w:rPr>
            </w:pPr>
            <w:r w:rsidRPr="00906EA7">
              <w:rPr>
                <w:rFonts w:ascii="Times New Roman" w:hAnsi="Times New Roman"/>
                <w:sz w:val="24"/>
                <w:szCs w:val="24"/>
              </w:rPr>
              <w:t xml:space="preserve"> Участок тепловых сетей 2 Ø800 мм от УТ-4 до ул. 50 лет Октября                         с переходом ул. Заречная, 2 Ø700 мм от ул. 50 лет Октября в г. Мегионе. 1 этап строительства.</w:t>
            </w:r>
          </w:p>
          <w:p w:rsidR="00584718" w:rsidRPr="00906EA7" w:rsidRDefault="00584718" w:rsidP="0097253F">
            <w:pPr>
              <w:jc w:val="both"/>
              <w:rPr>
                <w:rFonts w:ascii="Times New Roman" w:hAnsi="Times New Roman"/>
                <w:sz w:val="24"/>
                <w:szCs w:val="24"/>
              </w:rPr>
            </w:pPr>
            <w:r w:rsidRPr="00906EA7">
              <w:rPr>
                <w:rFonts w:ascii="Times New Roman" w:hAnsi="Times New Roman"/>
                <w:sz w:val="24"/>
                <w:szCs w:val="24"/>
              </w:rPr>
              <w:t>Объем капитальных вложений – 3 210,2 тыс. руб. Средства бюджета ХМАО 2 407,</w:t>
            </w:r>
            <w:r w:rsidR="003E2806" w:rsidRPr="00906EA7">
              <w:rPr>
                <w:rFonts w:ascii="Times New Roman" w:hAnsi="Times New Roman"/>
                <w:sz w:val="24"/>
                <w:szCs w:val="24"/>
              </w:rPr>
              <w:t>6 тыс. руб., 802,6 тыс. руб.</w:t>
            </w:r>
            <w:r w:rsidRPr="00906EA7">
              <w:rPr>
                <w:rFonts w:ascii="Times New Roman" w:hAnsi="Times New Roman"/>
                <w:sz w:val="24"/>
                <w:szCs w:val="24"/>
              </w:rPr>
              <w:t xml:space="preserve"> – софинансирование        за счет средств местного бюджета. Готовность объекта – 100,0%. Проводится итоговая проверка жилищного и строительного надзора. Срок получения разрешения на ввод объекта в эксплуатацию ориентировочно в январе 2020 года. </w:t>
            </w:r>
          </w:p>
        </w:tc>
      </w:tr>
      <w:tr w:rsidR="00584718" w:rsidRPr="00906EA7" w:rsidTr="001875D3">
        <w:trPr>
          <w:trHeight w:val="990"/>
        </w:trPr>
        <w:tc>
          <w:tcPr>
            <w:tcW w:w="1526" w:type="dxa"/>
            <w:vMerge/>
            <w:textDirection w:val="btLr"/>
          </w:tcPr>
          <w:p w:rsidR="00584718" w:rsidRPr="00906EA7" w:rsidRDefault="00584718" w:rsidP="0097253F">
            <w:pPr>
              <w:ind w:left="113" w:right="113"/>
              <w:contextualSpacing/>
              <w:jc w:val="center"/>
              <w:rPr>
                <w:rFonts w:ascii="Times New Roman" w:eastAsia="+mn-ea" w:hAnsi="Times New Roman"/>
              </w:rPr>
            </w:pPr>
          </w:p>
        </w:tc>
        <w:tc>
          <w:tcPr>
            <w:tcW w:w="8214" w:type="dxa"/>
            <w:vAlign w:val="center"/>
          </w:tcPr>
          <w:p w:rsidR="00584718" w:rsidRPr="00906EA7" w:rsidRDefault="00584718" w:rsidP="0097253F">
            <w:pPr>
              <w:jc w:val="both"/>
              <w:rPr>
                <w:rFonts w:ascii="Times New Roman" w:hAnsi="Times New Roman"/>
                <w:sz w:val="24"/>
                <w:szCs w:val="24"/>
              </w:rPr>
            </w:pPr>
            <w:r w:rsidRPr="00906EA7">
              <w:rPr>
                <w:rFonts w:ascii="Times New Roman" w:hAnsi="Times New Roman"/>
                <w:sz w:val="24"/>
                <w:szCs w:val="24"/>
              </w:rPr>
              <w:t xml:space="preserve">Спортивный центр с универсальным игровым залом и плоскостными спортивными сооружениями в г. Мегионе.  </w:t>
            </w:r>
          </w:p>
          <w:p w:rsidR="00584718" w:rsidRPr="00906EA7" w:rsidRDefault="00584718" w:rsidP="0097253F">
            <w:pPr>
              <w:jc w:val="both"/>
              <w:rPr>
                <w:rFonts w:ascii="Times New Roman" w:hAnsi="Times New Roman"/>
                <w:sz w:val="24"/>
                <w:szCs w:val="24"/>
              </w:rPr>
            </w:pPr>
            <w:r w:rsidRPr="00906EA7">
              <w:rPr>
                <w:rFonts w:ascii="Times New Roman" w:hAnsi="Times New Roman"/>
                <w:sz w:val="24"/>
                <w:szCs w:val="24"/>
              </w:rPr>
              <w:t xml:space="preserve">Объем капитальных </w:t>
            </w:r>
            <w:r w:rsidR="003E2806" w:rsidRPr="00906EA7">
              <w:rPr>
                <w:rFonts w:ascii="Times New Roman" w:hAnsi="Times New Roman"/>
                <w:sz w:val="24"/>
                <w:szCs w:val="24"/>
              </w:rPr>
              <w:t>вложений – 135 696,2 тыс. руб.</w:t>
            </w:r>
            <w:r w:rsidRPr="00906EA7">
              <w:rPr>
                <w:rFonts w:ascii="Times New Roman" w:hAnsi="Times New Roman"/>
                <w:sz w:val="24"/>
                <w:szCs w:val="24"/>
              </w:rPr>
              <w:t xml:space="preserve">, в том числе средства ХМАО – Югры 127 594,0 </w:t>
            </w:r>
            <w:r w:rsidR="003E2806" w:rsidRPr="00906EA7">
              <w:rPr>
                <w:rFonts w:ascii="Times New Roman" w:hAnsi="Times New Roman"/>
                <w:sz w:val="24"/>
                <w:szCs w:val="24"/>
              </w:rPr>
              <w:t>тыс. руб.</w:t>
            </w:r>
            <w:r w:rsidRPr="00906EA7">
              <w:rPr>
                <w:rFonts w:ascii="Times New Roman" w:hAnsi="Times New Roman"/>
                <w:sz w:val="24"/>
                <w:szCs w:val="24"/>
              </w:rPr>
              <w:t>, средства местно</w:t>
            </w:r>
            <w:r w:rsidR="003E2806" w:rsidRPr="00906EA7">
              <w:rPr>
                <w:rFonts w:ascii="Times New Roman" w:hAnsi="Times New Roman"/>
                <w:sz w:val="24"/>
                <w:szCs w:val="24"/>
              </w:rPr>
              <w:t>го бюджета – 8 102,2 тыс. руб</w:t>
            </w:r>
            <w:r w:rsidRPr="00906EA7">
              <w:rPr>
                <w:rFonts w:ascii="Times New Roman" w:hAnsi="Times New Roman"/>
                <w:sz w:val="24"/>
                <w:szCs w:val="24"/>
              </w:rPr>
              <w:t>. СМР выполнены в полном объеме, получено разрешение на ввод объекта в эксплуатацию от 01.11.2019 №86-</w:t>
            </w:r>
            <w:r w:rsidRPr="00906EA7">
              <w:rPr>
                <w:rFonts w:ascii="Times New Roman" w:hAnsi="Times New Roman"/>
                <w:sz w:val="24"/>
                <w:szCs w:val="24"/>
                <w:lang w:val="en-US"/>
              </w:rPr>
              <w:t>RU</w:t>
            </w:r>
            <w:r w:rsidRPr="00906EA7">
              <w:rPr>
                <w:rFonts w:ascii="Times New Roman" w:hAnsi="Times New Roman"/>
                <w:sz w:val="24"/>
                <w:szCs w:val="24"/>
              </w:rPr>
              <w:t>86303000-12-2019. В стадии завершения комплектация объекта оборудованием.</w:t>
            </w:r>
          </w:p>
        </w:tc>
      </w:tr>
    </w:tbl>
    <w:p w:rsidR="00584718" w:rsidRPr="00906EA7" w:rsidRDefault="00584718" w:rsidP="0097253F">
      <w:pPr>
        <w:spacing w:after="0" w:line="240" w:lineRule="auto"/>
        <w:rPr>
          <w:rFonts w:ascii="Times New Roman" w:eastAsia="Calibri" w:hAnsi="Times New Roman" w:cs="Times New Roman"/>
          <w:sz w:val="24"/>
          <w:szCs w:val="24"/>
        </w:rPr>
      </w:pPr>
    </w:p>
    <w:p w:rsidR="00584718" w:rsidRPr="00906EA7" w:rsidRDefault="00584718"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Финансирование по объектам, включенным в АИП, за январь-декабрь 2019 года</w:t>
      </w:r>
      <w:r w:rsidR="003E2806" w:rsidRPr="00906EA7">
        <w:rPr>
          <w:rFonts w:ascii="Times New Roman" w:eastAsia="Calibri" w:hAnsi="Times New Roman" w:cs="Times New Roman"/>
          <w:sz w:val="24"/>
          <w:szCs w:val="24"/>
        </w:rPr>
        <w:t xml:space="preserve"> составило 135 642,9 тыс. руб.</w:t>
      </w:r>
      <w:r w:rsidRPr="00906EA7">
        <w:rPr>
          <w:rFonts w:ascii="Times New Roman" w:eastAsia="Calibri" w:hAnsi="Times New Roman" w:cs="Times New Roman"/>
          <w:sz w:val="24"/>
          <w:szCs w:val="24"/>
        </w:rPr>
        <w:t>, в</w:t>
      </w:r>
      <w:r w:rsidR="003E2806" w:rsidRPr="00906EA7">
        <w:rPr>
          <w:rFonts w:ascii="Times New Roman" w:eastAsia="Calibri" w:hAnsi="Times New Roman" w:cs="Times New Roman"/>
          <w:sz w:val="24"/>
          <w:szCs w:val="24"/>
        </w:rPr>
        <w:t xml:space="preserve"> том числе 126 901,4 тыс. руб.</w:t>
      </w:r>
      <w:r w:rsidRPr="00906EA7">
        <w:rPr>
          <w:rFonts w:ascii="Times New Roman" w:eastAsia="Calibri" w:hAnsi="Times New Roman" w:cs="Times New Roman"/>
          <w:sz w:val="24"/>
          <w:szCs w:val="24"/>
        </w:rPr>
        <w:t xml:space="preserve"> средства окружн</w:t>
      </w:r>
      <w:r w:rsidR="003E2806" w:rsidRPr="00906EA7">
        <w:rPr>
          <w:rFonts w:ascii="Times New Roman" w:eastAsia="Calibri" w:hAnsi="Times New Roman" w:cs="Times New Roman"/>
          <w:sz w:val="24"/>
          <w:szCs w:val="24"/>
        </w:rPr>
        <w:t>ого бюджета, 8 741,5 тыс. руб.</w:t>
      </w:r>
      <w:r w:rsidRPr="00906EA7">
        <w:rPr>
          <w:rFonts w:ascii="Times New Roman" w:eastAsia="Calibri" w:hAnsi="Times New Roman" w:cs="Times New Roman"/>
          <w:sz w:val="24"/>
          <w:szCs w:val="24"/>
        </w:rPr>
        <w:t xml:space="preserve"> средства местного бюджета. </w:t>
      </w:r>
    </w:p>
    <w:p w:rsidR="00DA6C71" w:rsidRPr="00906EA7" w:rsidRDefault="00DA6C71" w:rsidP="0097253F">
      <w:pPr>
        <w:spacing w:after="0" w:line="240" w:lineRule="auto"/>
        <w:ind w:firstLine="709"/>
        <w:jc w:val="both"/>
        <w:rPr>
          <w:rFonts w:ascii="Times New Roman" w:eastAsia="Calibri" w:hAnsi="Times New Roman" w:cs="Times New Roman"/>
          <w:sz w:val="24"/>
          <w:szCs w:val="24"/>
        </w:rPr>
      </w:pPr>
    </w:p>
    <w:p w:rsidR="005A2708" w:rsidRPr="00906EA7" w:rsidRDefault="005A2708" w:rsidP="0097253F">
      <w:pPr>
        <w:spacing w:after="0" w:line="240" w:lineRule="auto"/>
        <w:ind w:firstLine="708"/>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ДЕНЕЖНЫЕ ДОХОДЫ И РАСХОДЫ НАСЕЛЕНИЯ, ОПЛАТА ТРУДА</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Денежные доходы населения</w:t>
      </w: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Состав доходов</w:t>
      </w:r>
      <w:r w:rsidR="002D3C0B" w:rsidRPr="00906EA7">
        <w:rPr>
          <w:rFonts w:ascii="Times New Roman" w:eastAsia="Times New Roman" w:hAnsi="Times New Roman" w:cs="Times New Roman"/>
          <w:sz w:val="24"/>
          <w:szCs w:val="24"/>
          <w:lang w:eastAsia="ru-RU"/>
        </w:rPr>
        <w:t xml:space="preserve"> населения</w:t>
      </w:r>
      <w:r w:rsidRPr="00906EA7">
        <w:rPr>
          <w:rFonts w:ascii="Times New Roman" w:eastAsia="Times New Roman" w:hAnsi="Times New Roman" w:cs="Times New Roman"/>
          <w:sz w:val="24"/>
          <w:szCs w:val="24"/>
          <w:lang w:eastAsia="ru-RU"/>
        </w:rPr>
        <w:t xml:space="preserve"> формируется из следующих основных источников:</w:t>
      </w: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трудовых доходов</w:t>
      </w:r>
      <w:r w:rsidR="006C5D83" w:rsidRPr="00906EA7">
        <w:rPr>
          <w:rFonts w:ascii="Times New Roman" w:eastAsia="Times New Roman" w:hAnsi="Times New Roman" w:cs="Times New Roman"/>
          <w:sz w:val="24"/>
          <w:szCs w:val="24"/>
          <w:lang w:eastAsia="ru-RU"/>
        </w:rPr>
        <w:t xml:space="preserve">, </w:t>
      </w:r>
      <w:r w:rsidR="00862695" w:rsidRPr="00906EA7">
        <w:rPr>
          <w:rFonts w:ascii="Times New Roman" w:eastAsia="Times New Roman" w:hAnsi="Times New Roman" w:cs="Times New Roman"/>
          <w:sz w:val="24"/>
          <w:szCs w:val="24"/>
          <w:lang w:eastAsia="ru-RU"/>
        </w:rPr>
        <w:t xml:space="preserve">удельный вес </w:t>
      </w:r>
      <w:r w:rsidR="006C5D83" w:rsidRPr="00906EA7">
        <w:rPr>
          <w:rFonts w:ascii="Times New Roman" w:eastAsia="Times New Roman" w:hAnsi="Times New Roman" w:cs="Times New Roman"/>
          <w:sz w:val="24"/>
          <w:szCs w:val="24"/>
          <w:lang w:eastAsia="ru-RU"/>
        </w:rPr>
        <w:t>котор</w:t>
      </w:r>
      <w:r w:rsidR="00EC08F0" w:rsidRPr="00906EA7">
        <w:rPr>
          <w:rFonts w:ascii="Times New Roman" w:eastAsia="Times New Roman" w:hAnsi="Times New Roman" w:cs="Times New Roman"/>
          <w:sz w:val="24"/>
          <w:szCs w:val="24"/>
          <w:lang w:eastAsia="ru-RU"/>
        </w:rPr>
        <w:t>ых</w:t>
      </w:r>
      <w:r w:rsidR="006C5D83" w:rsidRPr="00906EA7">
        <w:rPr>
          <w:rFonts w:ascii="Times New Roman" w:eastAsia="Times New Roman" w:hAnsi="Times New Roman" w:cs="Times New Roman"/>
          <w:sz w:val="24"/>
          <w:szCs w:val="24"/>
          <w:lang w:eastAsia="ru-RU"/>
        </w:rPr>
        <w:t xml:space="preserve"> </w:t>
      </w:r>
      <w:r w:rsidR="00862695" w:rsidRPr="00906EA7">
        <w:rPr>
          <w:rFonts w:ascii="Times New Roman" w:eastAsia="Times New Roman" w:hAnsi="Times New Roman" w:cs="Times New Roman"/>
          <w:sz w:val="24"/>
          <w:szCs w:val="24"/>
          <w:lang w:eastAsia="ru-RU"/>
        </w:rPr>
        <w:t xml:space="preserve">в общей сумме доходов </w:t>
      </w:r>
      <w:r w:rsidRPr="00906EA7">
        <w:rPr>
          <w:rFonts w:ascii="Times New Roman" w:eastAsia="Times New Roman" w:hAnsi="Times New Roman" w:cs="Times New Roman"/>
          <w:sz w:val="24"/>
          <w:szCs w:val="24"/>
          <w:lang w:eastAsia="ru-RU"/>
        </w:rPr>
        <w:t>за 201</w:t>
      </w:r>
      <w:r w:rsidR="0065413A"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w:t>
      </w:r>
      <w:r w:rsidR="00862695"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 xml:space="preserve">вырос на </w:t>
      </w:r>
      <w:r w:rsidR="00862695" w:rsidRPr="00906EA7">
        <w:rPr>
          <w:rFonts w:ascii="Times New Roman" w:eastAsia="Times New Roman" w:hAnsi="Times New Roman" w:cs="Times New Roman"/>
          <w:sz w:val="24"/>
          <w:szCs w:val="24"/>
          <w:lang w:eastAsia="ru-RU"/>
        </w:rPr>
        <w:t>0,</w:t>
      </w:r>
      <w:r w:rsidR="00002706" w:rsidRPr="00906EA7">
        <w:rPr>
          <w:rFonts w:ascii="Times New Roman" w:eastAsia="Times New Roman" w:hAnsi="Times New Roman" w:cs="Times New Roman"/>
          <w:sz w:val="24"/>
          <w:szCs w:val="24"/>
          <w:lang w:eastAsia="ru-RU"/>
        </w:rPr>
        <w:t>1</w:t>
      </w:r>
      <w:r w:rsidRPr="00906EA7">
        <w:rPr>
          <w:rFonts w:ascii="Times New Roman" w:eastAsia="Times New Roman" w:hAnsi="Times New Roman" w:cs="Times New Roman"/>
          <w:sz w:val="24"/>
          <w:szCs w:val="24"/>
          <w:lang w:eastAsia="ru-RU"/>
        </w:rPr>
        <w:t>% и составляет 75,</w:t>
      </w:r>
      <w:r w:rsidR="00862695" w:rsidRPr="00906EA7">
        <w:rPr>
          <w:rFonts w:ascii="Times New Roman" w:eastAsia="Times New Roman" w:hAnsi="Times New Roman" w:cs="Times New Roman"/>
          <w:sz w:val="24"/>
          <w:szCs w:val="24"/>
          <w:lang w:eastAsia="ru-RU"/>
        </w:rPr>
        <w:t>6</w:t>
      </w:r>
      <w:r w:rsidRPr="00906EA7">
        <w:rPr>
          <w:rFonts w:ascii="Times New Roman" w:eastAsia="Times New Roman" w:hAnsi="Times New Roman" w:cs="Times New Roman"/>
          <w:sz w:val="24"/>
          <w:szCs w:val="24"/>
          <w:lang w:eastAsia="ru-RU"/>
        </w:rPr>
        <w:t>%;</w:t>
      </w: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государственная, негосударственная пенсии, льготы, пособия и другие виды социальных выплат льготной категории населения с удельным весом 18,</w:t>
      </w:r>
      <w:r w:rsidR="00862695"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w:t>
      </w:r>
      <w:r w:rsidR="00EC08F0"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против </w:t>
      </w:r>
      <w:r w:rsidR="00862695" w:rsidRPr="00906EA7">
        <w:rPr>
          <w:rFonts w:ascii="Times New Roman" w:eastAsia="Times New Roman" w:hAnsi="Times New Roman" w:cs="Times New Roman"/>
          <w:sz w:val="24"/>
          <w:szCs w:val="24"/>
          <w:lang w:eastAsia="ru-RU"/>
        </w:rPr>
        <w:t>18,7</w:t>
      </w:r>
      <w:r w:rsidRPr="00906EA7">
        <w:rPr>
          <w:rFonts w:ascii="Times New Roman" w:eastAsia="Times New Roman" w:hAnsi="Times New Roman" w:cs="Times New Roman"/>
          <w:sz w:val="24"/>
          <w:szCs w:val="24"/>
          <w:lang w:eastAsia="ru-RU"/>
        </w:rPr>
        <w:t>% в 201</w:t>
      </w:r>
      <w:r w:rsidR="00862695"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w:t>
      </w: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прочие виды доходов с удельным весом </w:t>
      </w:r>
      <w:r w:rsidR="00862695" w:rsidRPr="00906EA7">
        <w:rPr>
          <w:rFonts w:ascii="Times New Roman" w:eastAsia="Times New Roman" w:hAnsi="Times New Roman" w:cs="Times New Roman"/>
          <w:sz w:val="24"/>
          <w:szCs w:val="24"/>
          <w:lang w:eastAsia="ru-RU"/>
        </w:rPr>
        <w:t>5,5</w:t>
      </w:r>
      <w:r w:rsidRPr="00906EA7">
        <w:rPr>
          <w:rFonts w:ascii="Times New Roman" w:eastAsia="Times New Roman" w:hAnsi="Times New Roman" w:cs="Times New Roman"/>
          <w:sz w:val="24"/>
          <w:szCs w:val="24"/>
          <w:lang w:eastAsia="ru-RU"/>
        </w:rPr>
        <w:t xml:space="preserve">% и </w:t>
      </w:r>
      <w:r w:rsidR="00862695" w:rsidRPr="00906EA7">
        <w:rPr>
          <w:rFonts w:ascii="Times New Roman" w:eastAsia="Times New Roman" w:hAnsi="Times New Roman" w:cs="Times New Roman"/>
          <w:sz w:val="24"/>
          <w:szCs w:val="24"/>
          <w:lang w:eastAsia="ru-RU"/>
        </w:rPr>
        <w:t>5,8</w:t>
      </w:r>
      <w:r w:rsidRPr="00906EA7">
        <w:rPr>
          <w:rFonts w:ascii="Times New Roman" w:eastAsia="Times New Roman" w:hAnsi="Times New Roman" w:cs="Times New Roman"/>
          <w:sz w:val="24"/>
          <w:szCs w:val="24"/>
          <w:lang w:eastAsia="ru-RU"/>
        </w:rPr>
        <w:t>% соответственно.</w:t>
      </w:r>
    </w:p>
    <w:p w:rsidR="00FB387D" w:rsidRPr="00906EA7" w:rsidRDefault="00FB387D"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DF672C" w:rsidRPr="00906EA7" w:rsidRDefault="00DF672C"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Структура денежных доходов по источникам их формирования </w:t>
      </w:r>
    </w:p>
    <w:p w:rsidR="00DF672C" w:rsidRPr="00906EA7" w:rsidRDefault="00DF672C"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w:t>
      </w:r>
      <w:r w:rsidR="00664C1E"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664C1E"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DF672C" w:rsidRPr="00906EA7" w:rsidRDefault="00DF672C"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 </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134"/>
        <w:gridCol w:w="1275"/>
        <w:gridCol w:w="1113"/>
      </w:tblGrid>
      <w:tr w:rsidR="00A07161" w:rsidRPr="00906EA7" w:rsidTr="00A07161">
        <w:trPr>
          <w:trHeight w:val="655"/>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113"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w:t>
            </w:r>
          </w:p>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45501F"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A07161" w:rsidRPr="00906EA7" w:rsidTr="00A07161">
        <w:trPr>
          <w:trHeight w:val="11"/>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Оплата труда занятого в экономике населения с учетом скрытого объема оплат</w:t>
            </w:r>
            <w:r w:rsidR="00F119D3" w:rsidRPr="00906EA7">
              <w:rPr>
                <w:rFonts w:ascii="Times New Roman" w:eastAsia="Times New Roman" w:hAnsi="Times New Roman" w:cs="Times New Roman"/>
                <w:sz w:val="24"/>
                <w:szCs w:val="24"/>
                <w:lang w:eastAsia="ru-RU"/>
              </w:rPr>
              <w:t>ы труда с учетом ВСХ,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16370,7</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18691,4</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19806,6</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105,97</w:t>
            </w:r>
          </w:p>
        </w:tc>
      </w:tr>
      <w:tr w:rsidR="00A07161" w:rsidRPr="00906EA7" w:rsidTr="00A07161">
        <w:trPr>
          <w:trHeight w:val="4"/>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Социальные трансферты льготной категории </w:t>
            </w:r>
            <w:r w:rsidRPr="00906EA7">
              <w:rPr>
                <w:rFonts w:ascii="Times New Roman" w:eastAsia="Times New Roman" w:hAnsi="Times New Roman" w:cs="Times New Roman"/>
                <w:sz w:val="24"/>
                <w:szCs w:val="24"/>
                <w:lang w:eastAsia="ru-RU"/>
              </w:rPr>
              <w:lastRenderedPageBreak/>
              <w:t>населения (пенсии трудовые и дополнительные, льготы,</w:t>
            </w:r>
            <w:r w:rsidR="00F119D3" w:rsidRPr="00906EA7">
              <w:rPr>
                <w:rFonts w:ascii="Times New Roman" w:eastAsia="Times New Roman" w:hAnsi="Times New Roman" w:cs="Times New Roman"/>
                <w:sz w:val="24"/>
                <w:szCs w:val="24"/>
                <w:lang w:eastAsia="ru-RU"/>
              </w:rPr>
              <w:t xml:space="preserve"> пособия, субсидии),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4170,5</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4620,8</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4944,2</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107</w:t>
            </w:r>
          </w:p>
        </w:tc>
      </w:tr>
      <w:tr w:rsidR="00A07161" w:rsidRPr="00906EA7" w:rsidTr="00A07161">
        <w:trPr>
          <w:trHeight w:val="90"/>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Прочие виды доходов (дивиденды, доходные проценты по депозитам, валютные операции, </w:t>
            </w:r>
            <w:r w:rsidR="00F119D3" w:rsidRPr="00906EA7">
              <w:rPr>
                <w:rFonts w:ascii="Times New Roman" w:eastAsia="Times New Roman" w:hAnsi="Times New Roman" w:cs="Times New Roman"/>
                <w:sz w:val="24"/>
                <w:szCs w:val="24"/>
                <w:lang w:eastAsia="ru-RU"/>
              </w:rPr>
              <w:t>полученные переводы),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1443,7</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1444,1</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1445,5</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100,1</w:t>
            </w:r>
          </w:p>
        </w:tc>
      </w:tr>
      <w:tr w:rsidR="00A07161" w:rsidRPr="00906EA7" w:rsidTr="00A07161">
        <w:trPr>
          <w:trHeight w:val="411"/>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Итого всех д</w:t>
            </w:r>
            <w:r w:rsidR="00F119D3" w:rsidRPr="00906EA7">
              <w:rPr>
                <w:rFonts w:ascii="Times New Roman" w:eastAsia="Times New Roman" w:hAnsi="Times New Roman" w:cs="Times New Roman"/>
                <w:sz w:val="24"/>
                <w:szCs w:val="24"/>
                <w:lang w:eastAsia="ru-RU"/>
              </w:rPr>
              <w:t>оходов,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21984,9</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24756,3</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26196</w:t>
            </w:r>
            <w:r w:rsidR="00C675C2" w:rsidRPr="00906EA7">
              <w:rPr>
                <w:rFonts w:ascii="Times New Roman" w:eastAsia="Times New Roman" w:hAnsi="Times New Roman" w:cs="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105,8</w:t>
            </w:r>
          </w:p>
        </w:tc>
      </w:tr>
      <w:tr w:rsidR="00A07161" w:rsidRPr="00906EA7" w:rsidTr="00A07161">
        <w:trPr>
          <w:trHeight w:val="559"/>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5D5C16">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том числе на 1 жителя, руб</w:t>
            </w:r>
            <w:r w:rsidR="005D5C1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33335</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37900</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40431</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106,7</w:t>
            </w:r>
          </w:p>
        </w:tc>
      </w:tr>
      <w:tr w:rsidR="00A07161" w:rsidRPr="00906EA7" w:rsidTr="00A07161">
        <w:trPr>
          <w:trHeight w:val="722"/>
        </w:trPr>
        <w:tc>
          <w:tcPr>
            <w:tcW w:w="4928"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Динамика уровня реальных доходов, %</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97,0</w:t>
            </w: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7235FF"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110,6</w:t>
            </w: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D037ED"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103,</w:t>
            </w:r>
            <w:r w:rsidR="00F54D21" w:rsidRPr="00906EA7">
              <w:rPr>
                <w:rFonts w:ascii="Times New Roman" w:eastAsia="Times New Roman" w:hAnsi="Times New Roman" w:cs="Times New Roman"/>
                <w:bCs/>
                <w:sz w:val="24"/>
                <w:szCs w:val="24"/>
                <w:lang w:eastAsia="ru-RU"/>
              </w:rPr>
              <w:t>7</w:t>
            </w:r>
          </w:p>
        </w:tc>
        <w:tc>
          <w:tcPr>
            <w:tcW w:w="1113" w:type="dxa"/>
            <w:tcBorders>
              <w:top w:val="single" w:sz="4" w:space="0" w:color="auto"/>
              <w:left w:val="single" w:sz="4" w:space="0" w:color="auto"/>
              <w:bottom w:val="single" w:sz="4" w:space="0" w:color="auto"/>
              <w:right w:val="single" w:sz="4" w:space="0" w:color="auto"/>
            </w:tcBorders>
            <w:vAlign w:val="center"/>
          </w:tcPr>
          <w:p w:rsidR="00664C1E" w:rsidRPr="00906EA7" w:rsidRDefault="00F54D21"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w:t>
            </w:r>
            <w:r w:rsidR="00B920DB" w:rsidRPr="00906EA7">
              <w:rPr>
                <w:rFonts w:ascii="Times New Roman" w:eastAsia="Times New Roman" w:hAnsi="Times New Roman" w:cs="Times New Roman"/>
                <w:bCs/>
                <w:sz w:val="24"/>
                <w:szCs w:val="24"/>
                <w:lang w:eastAsia="ru-RU"/>
              </w:rPr>
              <w:t>6,9</w:t>
            </w:r>
            <w:r w:rsidR="00664C1E" w:rsidRPr="00906EA7">
              <w:rPr>
                <w:rFonts w:ascii="Times New Roman" w:eastAsia="Times New Roman" w:hAnsi="Times New Roman" w:cs="Times New Roman"/>
                <w:bCs/>
                <w:sz w:val="24"/>
                <w:szCs w:val="24"/>
                <w:lang w:eastAsia="ru-RU"/>
              </w:rPr>
              <w:t xml:space="preserve"> </w:t>
            </w:r>
            <w:r w:rsidR="00664C1E" w:rsidRPr="00906EA7">
              <w:rPr>
                <w:rFonts w:ascii="Times New Roman" w:eastAsia="Times New Roman" w:hAnsi="Times New Roman" w:cs="Times New Roman"/>
                <w:bCs/>
                <w:sz w:val="16"/>
                <w:szCs w:val="16"/>
                <w:lang w:eastAsia="ru-RU"/>
              </w:rPr>
              <w:t>процентных пункт</w:t>
            </w:r>
            <w:r w:rsidR="00D037ED" w:rsidRPr="00906EA7">
              <w:rPr>
                <w:rFonts w:ascii="Times New Roman" w:eastAsia="Times New Roman" w:hAnsi="Times New Roman" w:cs="Times New Roman"/>
                <w:bCs/>
                <w:sz w:val="16"/>
                <w:szCs w:val="16"/>
                <w:lang w:eastAsia="ru-RU"/>
              </w:rPr>
              <w:t>а</w:t>
            </w:r>
          </w:p>
        </w:tc>
      </w:tr>
      <w:tr w:rsidR="00A07161" w:rsidRPr="00906EA7" w:rsidTr="00A07161">
        <w:trPr>
          <w:trHeight w:val="534"/>
        </w:trPr>
        <w:tc>
          <w:tcPr>
            <w:tcW w:w="4928" w:type="dxa"/>
            <w:tcBorders>
              <w:top w:val="single" w:sz="4" w:space="0" w:color="auto"/>
              <w:left w:val="single" w:sz="4" w:space="0" w:color="auto"/>
              <w:bottom w:val="single" w:sz="4" w:space="0" w:color="auto"/>
              <w:right w:val="single" w:sz="4" w:space="0" w:color="auto"/>
            </w:tcBorders>
            <w:vAlign w:val="bottom"/>
            <w:hideMark/>
          </w:tcPr>
          <w:p w:rsidR="00664C1E" w:rsidRPr="00906EA7" w:rsidRDefault="00664C1E" w:rsidP="0097253F">
            <w:pPr>
              <w:spacing w:after="0" w:line="240" w:lineRule="auto"/>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Справочно:</w:t>
            </w:r>
          </w:p>
          <w:p w:rsidR="00664C1E" w:rsidRPr="00906EA7" w:rsidRDefault="00664C1E" w:rsidP="0097253F">
            <w:pPr>
              <w:spacing w:after="0" w:line="240" w:lineRule="auto"/>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(применены при расчетах):</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0"/>
                <w:szCs w:val="20"/>
                <w:lang w:eastAsia="ru-RU"/>
              </w:rPr>
            </w:pPr>
          </w:p>
        </w:tc>
      </w:tr>
      <w:tr w:rsidR="00A07161" w:rsidRPr="00906EA7" w:rsidTr="00A07161">
        <w:trPr>
          <w:trHeight w:val="396"/>
        </w:trPr>
        <w:tc>
          <w:tcPr>
            <w:tcW w:w="4928"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Среднегодовая численность населения, 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54960</w:t>
            </w: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54434</w:t>
            </w: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53994</w:t>
            </w:r>
          </w:p>
        </w:tc>
        <w:tc>
          <w:tcPr>
            <w:tcW w:w="1113"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99</w:t>
            </w:r>
            <w:r w:rsidR="00D037ED" w:rsidRPr="00906EA7">
              <w:rPr>
                <w:rFonts w:ascii="Times New Roman" w:eastAsia="Times New Roman" w:hAnsi="Times New Roman" w:cs="Times New Roman"/>
                <w:bCs/>
                <w:sz w:val="24"/>
                <w:szCs w:val="24"/>
                <w:lang w:eastAsia="ru-RU"/>
              </w:rPr>
              <w:t>,2</w:t>
            </w:r>
          </w:p>
        </w:tc>
      </w:tr>
      <w:tr w:rsidR="00A07161" w:rsidRPr="00906EA7" w:rsidTr="00A07161">
        <w:trPr>
          <w:trHeight w:val="348"/>
        </w:trPr>
        <w:tc>
          <w:tcPr>
            <w:tcW w:w="4928"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Индекс потребительских цен, %</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103,14</w:t>
            </w: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7B5086"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102,</w:t>
            </w:r>
            <w:r w:rsidR="007235FF" w:rsidRPr="00906EA7">
              <w:rPr>
                <w:rFonts w:ascii="Times New Roman" w:eastAsia="Times New Roman" w:hAnsi="Times New Roman" w:cs="Times New Roman"/>
                <w:bCs/>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F54D21"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102,</w:t>
            </w:r>
            <w:r w:rsidR="007235FF" w:rsidRPr="00906EA7">
              <w:rPr>
                <w:rFonts w:ascii="Times New Roman" w:eastAsia="Times New Roman" w:hAnsi="Times New Roman" w:cs="Times New Roman"/>
                <w:bCs/>
                <w:sz w:val="24"/>
                <w:szCs w:val="24"/>
                <w:lang w:eastAsia="ru-RU"/>
              </w:rPr>
              <w:t>85</w:t>
            </w:r>
          </w:p>
        </w:tc>
        <w:tc>
          <w:tcPr>
            <w:tcW w:w="1113" w:type="dxa"/>
            <w:tcBorders>
              <w:top w:val="single" w:sz="4" w:space="0" w:color="auto"/>
              <w:left w:val="single" w:sz="4" w:space="0" w:color="auto"/>
              <w:bottom w:val="single" w:sz="4" w:space="0" w:color="auto"/>
              <w:right w:val="single" w:sz="4" w:space="0" w:color="auto"/>
            </w:tcBorders>
            <w:vAlign w:val="center"/>
          </w:tcPr>
          <w:p w:rsidR="00664C1E" w:rsidRPr="00906EA7" w:rsidRDefault="00F54D21"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0,1</w:t>
            </w:r>
            <w:r w:rsidR="00664C1E" w:rsidRPr="00906EA7">
              <w:rPr>
                <w:rFonts w:ascii="Times New Roman" w:eastAsia="Times New Roman" w:hAnsi="Times New Roman" w:cs="Times New Roman"/>
                <w:bCs/>
                <w:sz w:val="24"/>
                <w:szCs w:val="24"/>
                <w:lang w:eastAsia="ru-RU"/>
              </w:rPr>
              <w:t xml:space="preserve"> </w:t>
            </w:r>
            <w:r w:rsidR="00664C1E" w:rsidRPr="00906EA7">
              <w:rPr>
                <w:rFonts w:ascii="Times New Roman" w:eastAsia="Times New Roman" w:hAnsi="Times New Roman" w:cs="Times New Roman"/>
                <w:bCs/>
                <w:sz w:val="16"/>
                <w:szCs w:val="16"/>
                <w:lang w:eastAsia="ru-RU"/>
              </w:rPr>
              <w:t>процентны</w:t>
            </w:r>
            <w:r w:rsidR="007B5086" w:rsidRPr="00906EA7">
              <w:rPr>
                <w:rFonts w:ascii="Times New Roman" w:eastAsia="Times New Roman" w:hAnsi="Times New Roman" w:cs="Times New Roman"/>
                <w:bCs/>
                <w:sz w:val="16"/>
                <w:szCs w:val="16"/>
                <w:lang w:eastAsia="ru-RU"/>
              </w:rPr>
              <w:t>х</w:t>
            </w:r>
            <w:r w:rsidR="00664C1E" w:rsidRPr="00906EA7">
              <w:rPr>
                <w:rFonts w:ascii="Times New Roman" w:eastAsia="Times New Roman" w:hAnsi="Times New Roman" w:cs="Times New Roman"/>
                <w:bCs/>
                <w:sz w:val="16"/>
                <w:szCs w:val="16"/>
                <w:lang w:eastAsia="ru-RU"/>
              </w:rPr>
              <w:t xml:space="preserve"> пункт</w:t>
            </w:r>
            <w:r w:rsidR="007B5086" w:rsidRPr="00906EA7">
              <w:rPr>
                <w:rFonts w:ascii="Times New Roman" w:eastAsia="Times New Roman" w:hAnsi="Times New Roman" w:cs="Times New Roman"/>
                <w:bCs/>
                <w:sz w:val="16"/>
                <w:szCs w:val="16"/>
                <w:lang w:eastAsia="ru-RU"/>
              </w:rPr>
              <w:t>а</w:t>
            </w:r>
          </w:p>
        </w:tc>
      </w:tr>
    </w:tbl>
    <w:p w:rsidR="00DF672C" w:rsidRPr="00906EA7" w:rsidRDefault="00DF672C" w:rsidP="0097253F">
      <w:pPr>
        <w:spacing w:after="0" w:line="240" w:lineRule="auto"/>
        <w:jc w:val="center"/>
        <w:rPr>
          <w:rFonts w:ascii="Times New Roman" w:eastAsia="Times New Roman" w:hAnsi="Times New Roman" w:cs="Times New Roman"/>
          <w:sz w:val="24"/>
          <w:szCs w:val="24"/>
          <w:lang w:eastAsia="ru-RU"/>
        </w:rPr>
      </w:pPr>
    </w:p>
    <w:p w:rsidR="00DF672C" w:rsidRPr="00906EA7" w:rsidRDefault="00DF672C"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За 201</w:t>
      </w:r>
      <w:r w:rsidR="00D037ED" w:rsidRPr="00906EA7">
        <w:rPr>
          <w:rFonts w:ascii="Times New Roman" w:eastAsia="Times New Roman" w:hAnsi="Times New Roman" w:cs="Times New Roman"/>
          <w:sz w:val="24"/>
          <w:szCs w:val="24"/>
        </w:rPr>
        <w:t>9</w:t>
      </w:r>
      <w:r w:rsidRPr="00906EA7">
        <w:rPr>
          <w:rFonts w:ascii="Times New Roman" w:eastAsia="Times New Roman" w:hAnsi="Times New Roman" w:cs="Times New Roman"/>
          <w:sz w:val="24"/>
          <w:szCs w:val="24"/>
        </w:rPr>
        <w:t xml:space="preserve"> год среднедушевой денежный доход вырос на </w:t>
      </w:r>
      <w:r w:rsidR="00D037ED" w:rsidRPr="00906EA7">
        <w:rPr>
          <w:rFonts w:ascii="Times New Roman" w:eastAsia="Times New Roman" w:hAnsi="Times New Roman" w:cs="Times New Roman"/>
          <w:sz w:val="24"/>
          <w:szCs w:val="24"/>
        </w:rPr>
        <w:t>6</w:t>
      </w:r>
      <w:r w:rsidRPr="00906EA7">
        <w:rPr>
          <w:rFonts w:ascii="Times New Roman" w:eastAsia="Times New Roman" w:hAnsi="Times New Roman" w:cs="Times New Roman"/>
          <w:sz w:val="24"/>
          <w:szCs w:val="24"/>
        </w:rPr>
        <w:t xml:space="preserve">,7% и составил </w:t>
      </w:r>
      <w:r w:rsidR="00D037ED" w:rsidRPr="00906EA7">
        <w:rPr>
          <w:rFonts w:ascii="Times New Roman" w:eastAsia="Times New Roman" w:hAnsi="Times New Roman" w:cs="Times New Roman"/>
          <w:sz w:val="24"/>
          <w:szCs w:val="24"/>
        </w:rPr>
        <w:t>40431</w:t>
      </w:r>
      <w:r w:rsidRPr="00906EA7">
        <w:rPr>
          <w:rFonts w:ascii="Times New Roman" w:eastAsia="Times New Roman" w:hAnsi="Times New Roman" w:cs="Times New Roman"/>
          <w:sz w:val="24"/>
          <w:szCs w:val="24"/>
        </w:rPr>
        <w:t xml:space="preserve"> рубл</w:t>
      </w:r>
      <w:r w:rsidR="00D037ED" w:rsidRPr="00906EA7">
        <w:rPr>
          <w:rFonts w:ascii="Times New Roman" w:eastAsia="Times New Roman" w:hAnsi="Times New Roman" w:cs="Times New Roman"/>
          <w:sz w:val="24"/>
          <w:szCs w:val="24"/>
        </w:rPr>
        <w:t>ь</w:t>
      </w:r>
      <w:r w:rsidRPr="00906EA7">
        <w:rPr>
          <w:rFonts w:ascii="Times New Roman" w:eastAsia="Times New Roman" w:hAnsi="Times New Roman" w:cs="Times New Roman"/>
          <w:sz w:val="24"/>
          <w:szCs w:val="24"/>
        </w:rPr>
        <w:t xml:space="preserve"> (</w:t>
      </w:r>
      <w:r w:rsidR="00D037ED" w:rsidRPr="00906EA7">
        <w:rPr>
          <w:rFonts w:ascii="Times New Roman" w:eastAsia="Times New Roman" w:hAnsi="Times New Roman" w:cs="Times New Roman"/>
          <w:sz w:val="24"/>
          <w:szCs w:val="24"/>
        </w:rPr>
        <w:t>37900</w:t>
      </w:r>
      <w:r w:rsidRPr="00906EA7">
        <w:rPr>
          <w:rFonts w:ascii="Times New Roman" w:eastAsia="Times New Roman" w:hAnsi="Times New Roman" w:cs="Times New Roman"/>
          <w:sz w:val="24"/>
          <w:szCs w:val="24"/>
        </w:rPr>
        <w:t xml:space="preserve"> руб</w:t>
      </w:r>
      <w:r w:rsidR="005D5C16" w:rsidRPr="00906EA7">
        <w:rPr>
          <w:rFonts w:ascii="Times New Roman" w:eastAsia="Times New Roman" w:hAnsi="Times New Roman" w:cs="Times New Roman"/>
          <w:sz w:val="24"/>
          <w:szCs w:val="24"/>
        </w:rPr>
        <w:t>.</w:t>
      </w:r>
      <w:r w:rsidRPr="00906EA7">
        <w:rPr>
          <w:rFonts w:ascii="Times New Roman" w:eastAsia="Times New Roman" w:hAnsi="Times New Roman" w:cs="Times New Roman"/>
          <w:sz w:val="24"/>
          <w:szCs w:val="24"/>
        </w:rPr>
        <w:t xml:space="preserve"> за 201</w:t>
      </w:r>
      <w:r w:rsidR="00D037ED" w:rsidRPr="00906EA7">
        <w:rPr>
          <w:rFonts w:ascii="Times New Roman" w:eastAsia="Times New Roman" w:hAnsi="Times New Roman" w:cs="Times New Roman"/>
          <w:sz w:val="24"/>
          <w:szCs w:val="24"/>
        </w:rPr>
        <w:t>8</w:t>
      </w:r>
      <w:r w:rsidRPr="00906EA7">
        <w:rPr>
          <w:rFonts w:ascii="Times New Roman" w:eastAsia="Times New Roman" w:hAnsi="Times New Roman" w:cs="Times New Roman"/>
          <w:sz w:val="24"/>
          <w:szCs w:val="24"/>
        </w:rPr>
        <w:t xml:space="preserve"> год). Достигнутый уровень денежных доходов позволяет обеспечить 2,</w:t>
      </w:r>
      <w:r w:rsidR="00B75B9C" w:rsidRPr="00906EA7">
        <w:rPr>
          <w:rFonts w:ascii="Times New Roman" w:eastAsia="Times New Roman" w:hAnsi="Times New Roman" w:cs="Times New Roman"/>
          <w:sz w:val="24"/>
          <w:szCs w:val="24"/>
        </w:rPr>
        <w:t>75</w:t>
      </w:r>
      <w:r w:rsidRPr="00906EA7">
        <w:rPr>
          <w:rFonts w:ascii="Times New Roman" w:eastAsia="Times New Roman" w:hAnsi="Times New Roman" w:cs="Times New Roman"/>
          <w:sz w:val="24"/>
          <w:szCs w:val="24"/>
        </w:rPr>
        <w:t xml:space="preserve"> бюджета прожиточного минимума (усредненный показатель которого за 201</w:t>
      </w:r>
      <w:r w:rsidR="00D037ED" w:rsidRPr="00906EA7">
        <w:rPr>
          <w:rFonts w:ascii="Times New Roman" w:eastAsia="Times New Roman" w:hAnsi="Times New Roman" w:cs="Times New Roman"/>
          <w:sz w:val="24"/>
          <w:szCs w:val="24"/>
        </w:rPr>
        <w:t>9</w:t>
      </w:r>
      <w:r w:rsidRPr="00906EA7">
        <w:rPr>
          <w:rFonts w:ascii="Times New Roman" w:eastAsia="Times New Roman" w:hAnsi="Times New Roman" w:cs="Times New Roman"/>
          <w:sz w:val="24"/>
          <w:szCs w:val="24"/>
        </w:rPr>
        <w:t xml:space="preserve"> год составляет 14</w:t>
      </w:r>
      <w:r w:rsidR="00B75B9C" w:rsidRPr="00906EA7">
        <w:rPr>
          <w:rFonts w:ascii="Times New Roman" w:eastAsia="Times New Roman" w:hAnsi="Times New Roman" w:cs="Times New Roman"/>
          <w:sz w:val="24"/>
          <w:szCs w:val="24"/>
        </w:rPr>
        <w:t>699</w:t>
      </w:r>
      <w:r w:rsidRPr="00906EA7">
        <w:rPr>
          <w:rFonts w:ascii="Times New Roman" w:eastAsia="Times New Roman" w:hAnsi="Times New Roman" w:cs="Times New Roman"/>
          <w:sz w:val="24"/>
          <w:szCs w:val="24"/>
        </w:rPr>
        <w:t xml:space="preserve"> руб</w:t>
      </w:r>
      <w:r w:rsidR="00562B3A" w:rsidRPr="00906EA7">
        <w:rPr>
          <w:rFonts w:ascii="Times New Roman" w:eastAsia="Times New Roman" w:hAnsi="Times New Roman" w:cs="Times New Roman"/>
          <w:sz w:val="24"/>
          <w:szCs w:val="24"/>
        </w:rPr>
        <w:t>.</w:t>
      </w:r>
      <w:r w:rsidRPr="00906EA7">
        <w:rPr>
          <w:rFonts w:ascii="Times New Roman" w:eastAsia="Times New Roman" w:hAnsi="Times New Roman" w:cs="Times New Roman"/>
          <w:sz w:val="24"/>
          <w:szCs w:val="24"/>
        </w:rPr>
        <w:t>)</w:t>
      </w:r>
      <w:r w:rsidR="00DC121D" w:rsidRPr="00906EA7">
        <w:rPr>
          <w:rFonts w:ascii="Times New Roman" w:eastAsia="Times New Roman" w:hAnsi="Times New Roman" w:cs="Times New Roman"/>
          <w:sz w:val="24"/>
          <w:szCs w:val="24"/>
        </w:rPr>
        <w:t>, в</w:t>
      </w:r>
      <w:r w:rsidRPr="00906EA7">
        <w:rPr>
          <w:rFonts w:ascii="Times New Roman" w:eastAsia="Times New Roman" w:hAnsi="Times New Roman" w:cs="Times New Roman"/>
          <w:sz w:val="24"/>
          <w:szCs w:val="24"/>
        </w:rPr>
        <w:t xml:space="preserve"> 201</w:t>
      </w:r>
      <w:r w:rsidR="00D037ED" w:rsidRPr="00906EA7">
        <w:rPr>
          <w:rFonts w:ascii="Times New Roman" w:eastAsia="Times New Roman" w:hAnsi="Times New Roman" w:cs="Times New Roman"/>
          <w:sz w:val="24"/>
          <w:szCs w:val="24"/>
        </w:rPr>
        <w:t>8</w:t>
      </w:r>
      <w:r w:rsidRPr="00906EA7">
        <w:rPr>
          <w:rFonts w:ascii="Times New Roman" w:eastAsia="Times New Roman" w:hAnsi="Times New Roman" w:cs="Times New Roman"/>
          <w:sz w:val="24"/>
          <w:szCs w:val="24"/>
        </w:rPr>
        <w:t xml:space="preserve"> году составлял 2,</w:t>
      </w:r>
      <w:r w:rsidR="00D037ED" w:rsidRPr="00906EA7">
        <w:rPr>
          <w:rFonts w:ascii="Times New Roman" w:eastAsia="Times New Roman" w:hAnsi="Times New Roman" w:cs="Times New Roman"/>
          <w:sz w:val="24"/>
          <w:szCs w:val="24"/>
        </w:rPr>
        <w:t>64</w:t>
      </w:r>
      <w:r w:rsidRPr="00906EA7">
        <w:rPr>
          <w:rFonts w:ascii="Times New Roman" w:eastAsia="Times New Roman" w:hAnsi="Times New Roman" w:cs="Times New Roman"/>
          <w:sz w:val="24"/>
          <w:szCs w:val="24"/>
        </w:rPr>
        <w:t xml:space="preserve"> соответственно.</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bookmarkStart w:id="4" w:name="_Toc410405855"/>
      <w:r w:rsidRPr="00906EA7">
        <w:rPr>
          <w:rFonts w:ascii="Times New Roman" w:eastAsia="Times New Roman" w:hAnsi="Times New Roman" w:cs="Times New Roman"/>
          <w:sz w:val="24"/>
          <w:szCs w:val="24"/>
          <w:lang w:eastAsia="ru-RU"/>
        </w:rPr>
        <w:t>Реальный уровень денежных доходов населения, откорректированный на региональный уровень инфляции (</w:t>
      </w:r>
      <w:r w:rsidR="00B75B9C" w:rsidRPr="00906EA7">
        <w:rPr>
          <w:rFonts w:ascii="Times New Roman" w:eastAsia="Times New Roman" w:hAnsi="Times New Roman" w:cs="Times New Roman"/>
          <w:sz w:val="24"/>
          <w:szCs w:val="24"/>
          <w:lang w:eastAsia="ru-RU"/>
        </w:rPr>
        <w:t>10</w:t>
      </w:r>
      <w:r w:rsidR="00B920DB" w:rsidRPr="00906EA7">
        <w:rPr>
          <w:rFonts w:ascii="Times New Roman" w:eastAsia="Times New Roman" w:hAnsi="Times New Roman" w:cs="Times New Roman"/>
          <w:sz w:val="24"/>
          <w:szCs w:val="24"/>
          <w:lang w:eastAsia="ru-RU"/>
        </w:rPr>
        <w:t>2,85</w:t>
      </w:r>
      <w:r w:rsidRPr="00906EA7">
        <w:rPr>
          <w:rFonts w:ascii="Times New Roman" w:eastAsia="Times New Roman" w:hAnsi="Times New Roman" w:cs="Times New Roman"/>
          <w:sz w:val="24"/>
          <w:szCs w:val="24"/>
          <w:lang w:eastAsia="ru-RU"/>
        </w:rPr>
        <w:t>%), за 201</w:t>
      </w:r>
      <w:r w:rsidR="00B75B9C"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составляет </w:t>
      </w:r>
      <w:r w:rsidR="00B75B9C" w:rsidRPr="00906EA7">
        <w:rPr>
          <w:rFonts w:ascii="Times New Roman" w:eastAsia="Times New Roman" w:hAnsi="Times New Roman" w:cs="Times New Roman"/>
          <w:sz w:val="24"/>
          <w:szCs w:val="24"/>
          <w:lang w:eastAsia="ru-RU"/>
        </w:rPr>
        <w:t>103,</w:t>
      </w:r>
      <w:r w:rsidR="00B920DB"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w:t>
      </w:r>
      <w:r w:rsidR="00F119D3" w:rsidRPr="00906EA7">
        <w:rPr>
          <w:rFonts w:ascii="Times New Roman" w:eastAsia="Times New Roman" w:hAnsi="Times New Roman" w:cs="Times New Roman"/>
          <w:sz w:val="24"/>
          <w:szCs w:val="24"/>
          <w:lang w:eastAsia="ru-RU"/>
        </w:rPr>
        <w:t>, в</w:t>
      </w:r>
      <w:r w:rsidRPr="00906EA7">
        <w:rPr>
          <w:rFonts w:ascii="Times New Roman" w:eastAsia="Times New Roman" w:hAnsi="Times New Roman" w:cs="Times New Roman"/>
          <w:sz w:val="24"/>
          <w:szCs w:val="24"/>
          <w:lang w:eastAsia="ru-RU"/>
        </w:rPr>
        <w:t xml:space="preserve"> 201</w:t>
      </w:r>
      <w:r w:rsidR="00B75B9C"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w:t>
      </w:r>
      <w:r w:rsidR="00B75B9C" w:rsidRPr="00906EA7">
        <w:rPr>
          <w:rFonts w:ascii="Times New Roman" w:eastAsia="Times New Roman" w:hAnsi="Times New Roman" w:cs="Times New Roman"/>
          <w:sz w:val="24"/>
          <w:szCs w:val="24"/>
          <w:lang w:eastAsia="ru-RU"/>
        </w:rPr>
        <w:t xml:space="preserve">у – </w:t>
      </w:r>
      <w:r w:rsidR="00B920DB" w:rsidRPr="00906EA7">
        <w:rPr>
          <w:rFonts w:ascii="Times New Roman" w:eastAsia="Times New Roman" w:hAnsi="Times New Roman" w:cs="Times New Roman"/>
          <w:sz w:val="24"/>
          <w:szCs w:val="24"/>
          <w:lang w:eastAsia="ru-RU"/>
        </w:rPr>
        <w:t>110,6</w:t>
      </w:r>
      <w:r w:rsidR="00B75B9C"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w:t>
      </w:r>
    </w:p>
    <w:bookmarkEnd w:id="4"/>
    <w:p w:rsidR="00DF672C" w:rsidRPr="00906EA7" w:rsidRDefault="00DF672C"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Основным по величине компонентом, участвующим в формировании денежных доходов населения</w:t>
      </w:r>
      <w:r w:rsidR="006957F6" w:rsidRPr="00906EA7">
        <w:rPr>
          <w:rFonts w:ascii="Times New Roman" w:eastAsia="Calibri Light" w:hAnsi="Times New Roman" w:cs="Times New Roman"/>
          <w:sz w:val="24"/>
          <w:szCs w:val="24"/>
        </w:rPr>
        <w:t>,</w:t>
      </w:r>
      <w:r w:rsidRPr="00906EA7">
        <w:rPr>
          <w:rFonts w:ascii="Times New Roman" w:eastAsia="Calibri Light" w:hAnsi="Times New Roman" w:cs="Times New Roman"/>
          <w:sz w:val="24"/>
          <w:szCs w:val="24"/>
        </w:rPr>
        <w:t xml:space="preserve"> </w:t>
      </w:r>
      <w:r w:rsidR="007B750A" w:rsidRPr="00906EA7">
        <w:rPr>
          <w:rFonts w:ascii="Times New Roman" w:eastAsia="Calibri Light" w:hAnsi="Times New Roman" w:cs="Times New Roman"/>
          <w:sz w:val="24"/>
          <w:szCs w:val="24"/>
        </w:rPr>
        <w:t>является оплата труда работающего населения</w:t>
      </w:r>
      <w:r w:rsidRPr="00906EA7">
        <w:rPr>
          <w:rFonts w:ascii="Times New Roman" w:eastAsia="Calibri Light" w:hAnsi="Times New Roman" w:cs="Times New Roman"/>
          <w:sz w:val="24"/>
          <w:szCs w:val="24"/>
        </w:rPr>
        <w:t xml:space="preserve">. </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В целом </w:t>
      </w:r>
      <w:r w:rsidR="007B750A" w:rsidRPr="00906EA7">
        <w:rPr>
          <w:rFonts w:ascii="Times New Roman" w:eastAsia="Times New Roman" w:hAnsi="Times New Roman" w:cs="Times New Roman"/>
          <w:sz w:val="24"/>
          <w:szCs w:val="24"/>
          <w:lang w:eastAsia="ru-RU"/>
        </w:rPr>
        <w:t xml:space="preserve">объем </w:t>
      </w:r>
      <w:r w:rsidRPr="00906EA7">
        <w:rPr>
          <w:rFonts w:ascii="Times New Roman" w:eastAsia="Times New Roman" w:hAnsi="Times New Roman" w:cs="Times New Roman"/>
          <w:sz w:val="24"/>
          <w:szCs w:val="24"/>
          <w:lang w:eastAsia="ru-RU"/>
        </w:rPr>
        <w:t>трудовых доходов за 201</w:t>
      </w:r>
      <w:r w:rsidR="00B75B9C"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вырос на </w:t>
      </w:r>
      <w:r w:rsidR="00002706" w:rsidRPr="00906EA7">
        <w:rPr>
          <w:rFonts w:ascii="Times New Roman" w:eastAsia="Times New Roman" w:hAnsi="Times New Roman" w:cs="Times New Roman"/>
          <w:sz w:val="24"/>
          <w:szCs w:val="24"/>
          <w:lang w:eastAsia="ru-RU"/>
        </w:rPr>
        <w:t>5,9</w:t>
      </w:r>
      <w:r w:rsidRPr="00906EA7">
        <w:rPr>
          <w:rFonts w:ascii="Times New Roman" w:eastAsia="Times New Roman" w:hAnsi="Times New Roman" w:cs="Times New Roman"/>
          <w:sz w:val="24"/>
          <w:szCs w:val="24"/>
          <w:lang w:eastAsia="ru-RU"/>
        </w:rPr>
        <w:t xml:space="preserve">% в связи </w:t>
      </w:r>
      <w:r w:rsidR="002D1338" w:rsidRPr="00906EA7">
        <w:rPr>
          <w:rFonts w:ascii="Times New Roman" w:eastAsia="Times New Roman" w:hAnsi="Times New Roman" w:cs="Times New Roman"/>
          <w:sz w:val="24"/>
          <w:szCs w:val="24"/>
          <w:lang w:eastAsia="ru-RU"/>
        </w:rPr>
        <w:t xml:space="preserve">с </w:t>
      </w:r>
      <w:r w:rsidR="002D1338" w:rsidRPr="00906EA7">
        <w:rPr>
          <w:rFonts w:ascii="Times New Roman" w:hAnsi="Times New Roman" w:cs="Times New Roman"/>
          <w:sz w:val="24"/>
          <w:szCs w:val="24"/>
        </w:rPr>
        <w:t>проведенной в течение года индексацией заработной платы работников различных отраслей экономики</w:t>
      </w:r>
      <w:r w:rsidRPr="00906EA7">
        <w:rPr>
          <w:rFonts w:ascii="Times New Roman" w:eastAsia="Times New Roman" w:hAnsi="Times New Roman" w:cs="Times New Roman"/>
          <w:sz w:val="24"/>
          <w:szCs w:val="24"/>
          <w:lang w:eastAsia="ru-RU"/>
        </w:rPr>
        <w:t>. В 201</w:t>
      </w:r>
      <w:r w:rsidR="002D1338"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прирост составлял </w:t>
      </w:r>
      <w:r w:rsidR="002D1338" w:rsidRPr="00906EA7">
        <w:rPr>
          <w:rFonts w:ascii="Times New Roman" w:eastAsia="Times New Roman" w:hAnsi="Times New Roman" w:cs="Times New Roman"/>
          <w:sz w:val="24"/>
          <w:szCs w:val="24"/>
          <w:lang w:eastAsia="ru-RU"/>
        </w:rPr>
        <w:t>14,2</w:t>
      </w:r>
      <w:r w:rsidRPr="00906EA7">
        <w:rPr>
          <w:rFonts w:ascii="Times New Roman" w:eastAsia="Times New Roman" w:hAnsi="Times New Roman" w:cs="Times New Roman"/>
          <w:sz w:val="24"/>
          <w:szCs w:val="24"/>
          <w:lang w:eastAsia="ru-RU"/>
        </w:rPr>
        <w:t xml:space="preserve">%.  </w:t>
      </w:r>
    </w:p>
    <w:p w:rsidR="00DF672C" w:rsidRPr="00906EA7" w:rsidRDefault="00DF672C"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Средняя заработная плата по крупным и средним предприятиям на 01.01.20</w:t>
      </w:r>
      <w:r w:rsidR="00ED592C" w:rsidRPr="00906EA7">
        <w:rPr>
          <w:rFonts w:ascii="Times New Roman" w:eastAsia="Calibri Light" w:hAnsi="Times New Roman" w:cs="Times New Roman"/>
          <w:sz w:val="24"/>
          <w:szCs w:val="24"/>
        </w:rPr>
        <w:t>20</w:t>
      </w:r>
      <w:r w:rsidRPr="00906EA7">
        <w:rPr>
          <w:rFonts w:ascii="Times New Roman" w:eastAsia="Calibri Light" w:hAnsi="Times New Roman" w:cs="Times New Roman"/>
          <w:sz w:val="24"/>
          <w:szCs w:val="24"/>
        </w:rPr>
        <w:t xml:space="preserve"> выросла на </w:t>
      </w:r>
      <w:r w:rsidR="00ED592C" w:rsidRPr="00906EA7">
        <w:rPr>
          <w:rFonts w:ascii="Times New Roman" w:eastAsia="Calibri Light" w:hAnsi="Times New Roman" w:cs="Times New Roman"/>
          <w:sz w:val="24"/>
          <w:szCs w:val="24"/>
        </w:rPr>
        <w:t>8,4</w:t>
      </w:r>
      <w:r w:rsidRPr="00906EA7">
        <w:rPr>
          <w:rFonts w:ascii="Times New Roman" w:eastAsia="Calibri Light" w:hAnsi="Times New Roman" w:cs="Times New Roman"/>
          <w:sz w:val="24"/>
          <w:szCs w:val="24"/>
        </w:rPr>
        <w:t xml:space="preserve">% и составляет </w:t>
      </w:r>
      <w:r w:rsidR="00ED592C" w:rsidRPr="00906EA7">
        <w:rPr>
          <w:rFonts w:ascii="Times New Roman" w:eastAsia="Calibri Light" w:hAnsi="Times New Roman" w:cs="Times New Roman"/>
          <w:sz w:val="24"/>
          <w:szCs w:val="24"/>
        </w:rPr>
        <w:t>71706</w:t>
      </w:r>
      <w:r w:rsidRPr="00906EA7">
        <w:rPr>
          <w:rFonts w:ascii="Times New Roman" w:eastAsia="Calibri Light" w:hAnsi="Times New Roman" w:cs="Times New Roman"/>
          <w:sz w:val="24"/>
          <w:szCs w:val="24"/>
        </w:rPr>
        <w:t xml:space="preserve"> руб</w:t>
      </w:r>
      <w:r w:rsidR="00562B3A" w:rsidRPr="00906EA7">
        <w:rPr>
          <w:rFonts w:ascii="Times New Roman" w:eastAsia="Calibri Light" w:hAnsi="Times New Roman" w:cs="Times New Roman"/>
          <w:sz w:val="24"/>
          <w:szCs w:val="24"/>
        </w:rPr>
        <w:t>.</w:t>
      </w:r>
      <w:r w:rsidRPr="00906EA7">
        <w:rPr>
          <w:rFonts w:ascii="Times New Roman" w:eastAsia="Calibri Light" w:hAnsi="Times New Roman" w:cs="Times New Roman"/>
          <w:sz w:val="24"/>
          <w:szCs w:val="24"/>
        </w:rPr>
        <w:t xml:space="preserve"> (</w:t>
      </w:r>
      <w:r w:rsidR="00ED592C" w:rsidRPr="00906EA7">
        <w:rPr>
          <w:rFonts w:ascii="Times New Roman" w:eastAsia="Calibri Light" w:hAnsi="Times New Roman" w:cs="Times New Roman"/>
          <w:sz w:val="24"/>
          <w:szCs w:val="24"/>
        </w:rPr>
        <w:t>66166</w:t>
      </w:r>
      <w:r w:rsidRPr="00906EA7">
        <w:rPr>
          <w:rFonts w:ascii="Times New Roman" w:eastAsia="Calibri Light" w:hAnsi="Times New Roman" w:cs="Times New Roman"/>
          <w:sz w:val="24"/>
          <w:szCs w:val="24"/>
        </w:rPr>
        <w:t xml:space="preserve"> рубль на 01.01.201</w:t>
      </w:r>
      <w:r w:rsidR="00ED592C"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w:t>
      </w:r>
    </w:p>
    <w:p w:rsidR="00DF672C" w:rsidRPr="00906EA7" w:rsidRDefault="00DF672C"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Реальный уровень заработной платы также вырос на </w:t>
      </w:r>
      <w:r w:rsidR="00980EB4" w:rsidRPr="00906EA7">
        <w:rPr>
          <w:rFonts w:ascii="Times New Roman" w:eastAsia="Calibri Light" w:hAnsi="Times New Roman" w:cs="Times New Roman"/>
          <w:sz w:val="24"/>
          <w:szCs w:val="24"/>
        </w:rPr>
        <w:t>5,4</w:t>
      </w:r>
      <w:r w:rsidRPr="00906EA7">
        <w:rPr>
          <w:rFonts w:ascii="Times New Roman" w:eastAsia="Calibri Light" w:hAnsi="Times New Roman" w:cs="Times New Roman"/>
          <w:sz w:val="24"/>
          <w:szCs w:val="24"/>
        </w:rPr>
        <w:t xml:space="preserve"> процентных пункт</w:t>
      </w:r>
      <w:r w:rsidR="00980EB4" w:rsidRPr="00906EA7">
        <w:rPr>
          <w:rFonts w:ascii="Times New Roman" w:eastAsia="Calibri Light" w:hAnsi="Times New Roman" w:cs="Times New Roman"/>
          <w:sz w:val="24"/>
          <w:szCs w:val="24"/>
        </w:rPr>
        <w:t>а</w:t>
      </w:r>
      <w:r w:rsidRPr="00906EA7">
        <w:rPr>
          <w:rFonts w:ascii="Times New Roman" w:eastAsia="Calibri Light" w:hAnsi="Times New Roman" w:cs="Times New Roman"/>
          <w:sz w:val="24"/>
          <w:szCs w:val="24"/>
        </w:rPr>
        <w:t xml:space="preserve">, что связано с </w:t>
      </w:r>
      <w:r w:rsidR="00980EB4" w:rsidRPr="00906EA7">
        <w:rPr>
          <w:rFonts w:ascii="Times New Roman" w:eastAsia="Calibri Light" w:hAnsi="Times New Roman" w:cs="Times New Roman"/>
          <w:sz w:val="24"/>
          <w:szCs w:val="24"/>
        </w:rPr>
        <w:t>относительно стабильным уровнем</w:t>
      </w:r>
      <w:r w:rsidRPr="00906EA7">
        <w:rPr>
          <w:rFonts w:ascii="Times New Roman" w:eastAsia="Calibri Light" w:hAnsi="Times New Roman" w:cs="Times New Roman"/>
          <w:sz w:val="24"/>
          <w:szCs w:val="24"/>
        </w:rPr>
        <w:t xml:space="preserve"> инфляции, который за 201</w:t>
      </w:r>
      <w:r w:rsidR="00980EB4"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год составил 102,</w:t>
      </w:r>
      <w:r w:rsidR="00980EB4" w:rsidRPr="00906EA7">
        <w:rPr>
          <w:rFonts w:ascii="Times New Roman" w:eastAsia="Calibri Light" w:hAnsi="Times New Roman" w:cs="Times New Roman"/>
          <w:sz w:val="24"/>
          <w:szCs w:val="24"/>
        </w:rPr>
        <w:t>85</w:t>
      </w:r>
      <w:r w:rsidRPr="00906EA7">
        <w:rPr>
          <w:rFonts w:ascii="Times New Roman" w:eastAsia="Calibri Light" w:hAnsi="Times New Roman" w:cs="Times New Roman"/>
          <w:sz w:val="24"/>
          <w:szCs w:val="24"/>
        </w:rPr>
        <w:t>% против 10</w:t>
      </w:r>
      <w:r w:rsidR="00980EB4" w:rsidRPr="00906EA7">
        <w:rPr>
          <w:rFonts w:ascii="Times New Roman" w:eastAsia="Calibri Light" w:hAnsi="Times New Roman" w:cs="Times New Roman"/>
          <w:sz w:val="24"/>
          <w:szCs w:val="24"/>
        </w:rPr>
        <w:t>2</w:t>
      </w:r>
      <w:r w:rsidRPr="00906EA7">
        <w:rPr>
          <w:rFonts w:ascii="Times New Roman" w:eastAsia="Calibri Light" w:hAnsi="Times New Roman" w:cs="Times New Roman"/>
          <w:sz w:val="24"/>
          <w:szCs w:val="24"/>
        </w:rPr>
        <w:t>,</w:t>
      </w:r>
      <w:r w:rsidR="00980EB4" w:rsidRPr="00906EA7">
        <w:rPr>
          <w:rFonts w:ascii="Times New Roman" w:eastAsia="Calibri Light" w:hAnsi="Times New Roman" w:cs="Times New Roman"/>
          <w:sz w:val="24"/>
          <w:szCs w:val="24"/>
        </w:rPr>
        <w:t>75</w:t>
      </w:r>
      <w:r w:rsidRPr="00906EA7">
        <w:rPr>
          <w:rFonts w:ascii="Times New Roman" w:eastAsia="Calibri Light" w:hAnsi="Times New Roman" w:cs="Times New Roman"/>
          <w:sz w:val="24"/>
          <w:szCs w:val="24"/>
        </w:rPr>
        <w:t>% за предыдущий год</w:t>
      </w:r>
      <w:r w:rsidR="0034028F" w:rsidRPr="00906EA7">
        <w:rPr>
          <w:rFonts w:ascii="Times New Roman" w:eastAsia="Calibri Light" w:hAnsi="Times New Roman" w:cs="Times New Roman"/>
          <w:sz w:val="24"/>
          <w:szCs w:val="24"/>
        </w:rPr>
        <w:t>, а так же ростом номинальной заработной платы на 8,4%</w:t>
      </w:r>
      <w:r w:rsidR="006957F6" w:rsidRPr="00906EA7">
        <w:rPr>
          <w:rFonts w:ascii="Times New Roman" w:eastAsia="Calibri Light" w:hAnsi="Times New Roman" w:cs="Times New Roman"/>
          <w:sz w:val="24"/>
          <w:szCs w:val="24"/>
        </w:rPr>
        <w:t>. При этом динамика роста реальной заработной платы замедлилась на 3,1 процентных пункта, в 2018 году уровень реально располагаемой заработной платы составлял 108,5%.</w:t>
      </w:r>
    </w:p>
    <w:p w:rsidR="00DF672C" w:rsidRPr="00906EA7" w:rsidRDefault="00DF672C" w:rsidP="0097253F">
      <w:pPr>
        <w:spacing w:after="0" w:line="240" w:lineRule="auto"/>
        <w:ind w:firstLine="1"/>
        <w:jc w:val="center"/>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1"/>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Среднемесячная заработная плата работников среднесписочного состава </w:t>
      </w:r>
    </w:p>
    <w:p w:rsidR="00DF672C" w:rsidRDefault="00DF672C" w:rsidP="0097253F">
      <w:pPr>
        <w:spacing w:after="0" w:line="240" w:lineRule="auto"/>
        <w:ind w:firstLine="1"/>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крупных и средних предприятий городского округа город Мегион за 201</w:t>
      </w:r>
      <w:r w:rsidR="00B920DB"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B920DB"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79258C" w:rsidRDefault="0079258C" w:rsidP="0097253F">
      <w:pPr>
        <w:spacing w:after="0" w:line="240" w:lineRule="auto"/>
        <w:ind w:firstLine="1"/>
        <w:jc w:val="center"/>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34"/>
        <w:gridCol w:w="1134"/>
        <w:gridCol w:w="1134"/>
        <w:gridCol w:w="1134"/>
      </w:tblGrid>
      <w:tr w:rsidR="00A07161" w:rsidRPr="00906EA7" w:rsidTr="00651B1B">
        <w:trPr>
          <w:trHeight w:val="8"/>
          <w:tblHeader/>
        </w:trPr>
        <w:tc>
          <w:tcPr>
            <w:tcW w:w="5103"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w:t>
            </w:r>
          </w:p>
          <w:p w:rsidR="00C860A7" w:rsidRPr="00906EA7" w:rsidRDefault="00C860A7" w:rsidP="0045501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45501F"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A07161" w:rsidRPr="00906EA7" w:rsidTr="00651B1B">
        <w:trPr>
          <w:trHeight w:val="1173"/>
        </w:trPr>
        <w:tc>
          <w:tcPr>
            <w:tcW w:w="5103"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tabs>
                <w:tab w:val="center" w:pos="4677"/>
                <w:tab w:val="right" w:pos="9355"/>
              </w:tabs>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Уровень номинальной начисленной среднемесячной заработной платы работников среднесписочного состава крупных и средних предприятий (по данным отдела Госстатистики),</w:t>
            </w:r>
          </w:p>
          <w:p w:rsidR="00C860A7" w:rsidRPr="00906EA7" w:rsidRDefault="00562B3A" w:rsidP="00562B3A">
            <w:pPr>
              <w:tabs>
                <w:tab w:val="center" w:pos="4677"/>
                <w:tab w:val="right" w:pos="9355"/>
              </w:tabs>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0"/>
                <w:szCs w:val="20"/>
                <w:lang w:eastAsia="ru-RU"/>
              </w:rPr>
              <w:t>р</w:t>
            </w:r>
            <w:r w:rsidR="00C860A7" w:rsidRPr="00906EA7">
              <w:rPr>
                <w:rFonts w:ascii="Times New Roman" w:eastAsia="Times New Roman" w:hAnsi="Times New Roman" w:cs="Times New Roman"/>
                <w:sz w:val="20"/>
                <w:szCs w:val="20"/>
                <w:lang w:eastAsia="ru-RU"/>
              </w:rPr>
              <w:t>уб</w:t>
            </w:r>
            <w:r w:rsidRPr="00906EA7">
              <w:rPr>
                <w:rFonts w:ascii="Times New Roman" w:eastAsia="Times New Roman" w:hAnsi="Times New Roman" w:cs="Times New Roman"/>
                <w:sz w:val="20"/>
                <w:szCs w:val="20"/>
                <w:lang w:eastAsia="ru-RU"/>
              </w:rPr>
              <w:t>.</w:t>
            </w:r>
            <w:r w:rsidR="00C860A7" w:rsidRPr="00906EA7">
              <w:rPr>
                <w:rFonts w:ascii="Times New Roman" w:eastAsia="Times New Roman" w:hAnsi="Times New Roman" w:cs="Times New Roman"/>
                <w:sz w:val="20"/>
                <w:szCs w:val="20"/>
                <w:lang w:eastAsia="ru-RU"/>
              </w:rPr>
              <w:t xml:space="preserve"> на 1 работника в месяц</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59351</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66166</w:t>
            </w:r>
            <w:r w:rsidR="003B1543" w:rsidRPr="00906EA7">
              <w:rPr>
                <w:rStyle w:val="aff1"/>
                <w:rFonts w:ascii="Times New Roman" w:eastAsia="Times New Roman" w:hAnsi="Times New Roman" w:cs="Times New Roman"/>
                <w:sz w:val="24"/>
                <w:szCs w:val="24"/>
                <w:lang w:eastAsia="ru-RU"/>
              </w:rPr>
              <w:footnoteReference w:id="1"/>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71706</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108,4</w:t>
            </w:r>
          </w:p>
        </w:tc>
      </w:tr>
      <w:tr w:rsidR="00A07161" w:rsidRPr="00906EA7" w:rsidTr="00651B1B">
        <w:trPr>
          <w:trHeight w:val="445"/>
        </w:trPr>
        <w:tc>
          <w:tcPr>
            <w:tcW w:w="5103"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Индекс потребительских цен, %</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103,14</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7B5086"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102,</w:t>
            </w:r>
            <w:r w:rsidR="00B920DB" w:rsidRPr="00906EA7">
              <w:rPr>
                <w:rFonts w:ascii="Times New Roman" w:eastAsia="Times New Roman" w:hAnsi="Times New Roman" w:cs="Times New Roman"/>
                <w:sz w:val="24"/>
                <w:szCs w:val="24"/>
                <w:lang w:eastAsia="ru-RU"/>
              </w:rPr>
              <w:t>75</w:t>
            </w:r>
            <w:r w:rsidR="003B1543" w:rsidRPr="00906EA7">
              <w:rPr>
                <w:rStyle w:val="aff1"/>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102,85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737266" w:rsidP="0097253F">
            <w:pPr>
              <w:spacing w:after="0" w:line="240" w:lineRule="auto"/>
              <w:jc w:val="center"/>
              <w:rPr>
                <w:rFonts w:ascii="Times New Roman" w:eastAsia="Times New Roman" w:hAnsi="Times New Roman" w:cs="Times New Roman"/>
                <w:sz w:val="16"/>
                <w:szCs w:val="16"/>
                <w:lang w:eastAsia="ru-RU"/>
              </w:rPr>
            </w:pPr>
            <w:r w:rsidRPr="00906EA7">
              <w:rPr>
                <w:rFonts w:ascii="Times New Roman" w:eastAsia="Times New Roman" w:hAnsi="Times New Roman" w:cs="Times New Roman"/>
                <w:sz w:val="16"/>
                <w:szCs w:val="16"/>
                <w:lang w:eastAsia="ru-RU"/>
              </w:rPr>
              <w:t>0,1</w:t>
            </w:r>
            <w:r w:rsidR="00C860A7" w:rsidRPr="00906EA7">
              <w:rPr>
                <w:rFonts w:ascii="Times New Roman" w:eastAsia="Times New Roman" w:hAnsi="Times New Roman" w:cs="Times New Roman"/>
                <w:sz w:val="16"/>
                <w:szCs w:val="16"/>
                <w:lang w:eastAsia="ru-RU"/>
              </w:rPr>
              <w:t xml:space="preserve"> процентных пункта</w:t>
            </w:r>
          </w:p>
        </w:tc>
      </w:tr>
      <w:tr w:rsidR="00A07161" w:rsidRPr="00906EA7" w:rsidTr="00651B1B">
        <w:trPr>
          <w:trHeight w:val="665"/>
        </w:trPr>
        <w:tc>
          <w:tcPr>
            <w:tcW w:w="5103"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tabs>
                <w:tab w:val="center" w:pos="4677"/>
                <w:tab w:val="right" w:pos="9355"/>
              </w:tabs>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Динамика уровня реальной заработной платы, %</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97,0</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3B1543"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108,5</w:t>
            </w:r>
            <w:r w:rsidRPr="00906EA7">
              <w:rPr>
                <w:rStyle w:val="aff1"/>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3B1543"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737266"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16"/>
                <w:szCs w:val="16"/>
                <w:lang w:eastAsia="ru-RU"/>
              </w:rPr>
              <w:t>-</w:t>
            </w:r>
            <w:r w:rsidR="003B1543" w:rsidRPr="00906EA7">
              <w:rPr>
                <w:rFonts w:ascii="Times New Roman" w:eastAsia="Times New Roman" w:hAnsi="Times New Roman" w:cs="Times New Roman"/>
                <w:sz w:val="16"/>
                <w:szCs w:val="16"/>
                <w:lang w:eastAsia="ru-RU"/>
              </w:rPr>
              <w:t>3,1</w:t>
            </w:r>
            <w:r w:rsidR="00C860A7" w:rsidRPr="00906EA7">
              <w:rPr>
                <w:rFonts w:ascii="Times New Roman" w:eastAsia="Times New Roman" w:hAnsi="Times New Roman" w:cs="Times New Roman"/>
                <w:sz w:val="16"/>
                <w:szCs w:val="16"/>
                <w:lang w:eastAsia="ru-RU"/>
              </w:rPr>
              <w:t xml:space="preserve"> процентных пункт</w:t>
            </w:r>
            <w:r w:rsidR="003B1543" w:rsidRPr="00906EA7">
              <w:rPr>
                <w:rFonts w:ascii="Times New Roman" w:eastAsia="Times New Roman" w:hAnsi="Times New Roman" w:cs="Times New Roman"/>
                <w:sz w:val="16"/>
                <w:szCs w:val="16"/>
                <w:lang w:eastAsia="ru-RU"/>
              </w:rPr>
              <w:t>а</w:t>
            </w:r>
          </w:p>
        </w:tc>
      </w:tr>
    </w:tbl>
    <w:p w:rsidR="005F04D9" w:rsidRPr="00651B1B" w:rsidRDefault="00651B1B" w:rsidP="00651B1B">
      <w:pPr>
        <w:tabs>
          <w:tab w:val="left" w:pos="2856"/>
        </w:tabs>
        <w:spacing w:after="0" w:line="240" w:lineRule="auto"/>
        <w:rPr>
          <w:rFonts w:ascii="Times New Roman" w:hAnsi="Times New Roman" w:cs="Times New Roman"/>
          <w:sz w:val="20"/>
          <w:szCs w:val="20"/>
        </w:rPr>
      </w:pPr>
      <w:r w:rsidRPr="00651B1B">
        <w:rPr>
          <w:rStyle w:val="aff1"/>
          <w:rFonts w:ascii="Times New Roman" w:hAnsi="Times New Roman" w:cs="Times New Roman"/>
          <w:sz w:val="20"/>
          <w:szCs w:val="20"/>
        </w:rPr>
        <w:footnoteRef/>
      </w:r>
      <w:r w:rsidRPr="00651B1B">
        <w:rPr>
          <w:rFonts w:ascii="Times New Roman" w:hAnsi="Times New Roman" w:cs="Times New Roman"/>
          <w:sz w:val="20"/>
          <w:szCs w:val="20"/>
        </w:rPr>
        <w:t xml:space="preserve"> Показатели изменены на основании обновленных данных органов  Росстата</w:t>
      </w:r>
    </w:p>
    <w:p w:rsidR="00651B1B" w:rsidRPr="00906EA7" w:rsidRDefault="00651B1B" w:rsidP="00651B1B">
      <w:pPr>
        <w:tabs>
          <w:tab w:val="left" w:pos="2856"/>
        </w:tabs>
        <w:spacing w:after="0" w:line="240" w:lineRule="auto"/>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Показатели среднемесячной заработной платы по основным отраслям экономики</w:t>
      </w: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 за 201</w:t>
      </w:r>
      <w:r w:rsidR="00A425EB"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A425EB"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 работников среднесписочного состава </w:t>
      </w: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данным отдела Госстатистики)</w:t>
      </w:r>
    </w:p>
    <w:p w:rsidR="00DF672C" w:rsidRPr="00906EA7" w:rsidRDefault="00DF672C" w:rsidP="0097253F">
      <w:pPr>
        <w:spacing w:after="0" w:line="240" w:lineRule="auto"/>
        <w:ind w:firstLine="709"/>
        <w:jc w:val="center"/>
        <w:rPr>
          <w:rFonts w:ascii="Times New Roman" w:eastAsia="Times New Roman" w:hAnsi="Times New Roman" w:cs="Times New Roman"/>
          <w:sz w:val="16"/>
          <w:szCs w:val="16"/>
          <w:lang w:eastAsia="ru-RU"/>
        </w:rPr>
      </w:pPr>
    </w:p>
    <w:p w:rsidR="00DF672C" w:rsidRPr="00906EA7" w:rsidRDefault="00AA7DD6" w:rsidP="0097253F">
      <w:pPr>
        <w:spacing w:after="0" w:line="240" w:lineRule="auto"/>
        <w:ind w:firstLine="709"/>
        <w:jc w:val="right"/>
        <w:rPr>
          <w:rFonts w:ascii="Times New Roman" w:eastAsia="Times New Roman" w:hAnsi="Times New Roman" w:cs="Times New Roman"/>
          <w:i/>
          <w:sz w:val="16"/>
          <w:szCs w:val="16"/>
          <w:lang w:eastAsia="ru-RU"/>
        </w:rPr>
      </w:pPr>
      <w:r w:rsidRPr="00906EA7">
        <w:rPr>
          <w:rFonts w:ascii="Times New Roman" w:eastAsia="Times New Roman" w:hAnsi="Times New Roman" w:cs="Times New Roman"/>
          <w:i/>
          <w:sz w:val="16"/>
          <w:szCs w:val="16"/>
          <w:lang w:eastAsia="ru-RU"/>
        </w:rPr>
        <w:t>р</w:t>
      </w:r>
      <w:r w:rsidR="00DF672C" w:rsidRPr="00906EA7">
        <w:rPr>
          <w:rFonts w:ascii="Times New Roman" w:eastAsia="Times New Roman" w:hAnsi="Times New Roman" w:cs="Times New Roman"/>
          <w:i/>
          <w:sz w:val="16"/>
          <w:szCs w:val="16"/>
          <w:lang w:eastAsia="ru-RU"/>
        </w:rPr>
        <w:t>уб</w:t>
      </w:r>
      <w:r w:rsidRPr="00906EA7">
        <w:rPr>
          <w:rFonts w:ascii="Times New Roman" w:eastAsia="Times New Roman" w:hAnsi="Times New Roman" w:cs="Times New Roman"/>
          <w:i/>
          <w:sz w:val="16"/>
          <w:szCs w:val="16"/>
          <w:lang w:eastAsia="ru-RU"/>
        </w:rPr>
        <w:t>.</w:t>
      </w:r>
      <w:r w:rsidR="00DF672C" w:rsidRPr="00906EA7">
        <w:rPr>
          <w:rFonts w:ascii="Times New Roman" w:eastAsia="Times New Roman" w:hAnsi="Times New Roman" w:cs="Times New Roman"/>
          <w:i/>
          <w:sz w:val="16"/>
          <w:szCs w:val="16"/>
          <w:lang w:eastAsia="ru-RU"/>
        </w:rPr>
        <w:t xml:space="preserve"> на 1 работника в месяц</w:t>
      </w:r>
    </w:p>
    <w:tbl>
      <w:tblPr>
        <w:tblW w:w="9781" w:type="dxa"/>
        <w:jc w:val="center"/>
        <w:tblLayout w:type="fixed"/>
        <w:tblLook w:val="01E0" w:firstRow="1" w:lastRow="1" w:firstColumn="1" w:lastColumn="1" w:noHBand="0" w:noVBand="0"/>
      </w:tblPr>
      <w:tblGrid>
        <w:gridCol w:w="4678"/>
        <w:gridCol w:w="1275"/>
        <w:gridCol w:w="1276"/>
        <w:gridCol w:w="1276"/>
        <w:gridCol w:w="1276"/>
      </w:tblGrid>
      <w:tr w:rsidR="002123E6" w:rsidRPr="00906EA7" w:rsidTr="00007E74">
        <w:trPr>
          <w:cantSplit/>
          <w:trHeight w:val="330"/>
          <w:tblHeader/>
          <w:jc w:val="center"/>
        </w:trPr>
        <w:tc>
          <w:tcPr>
            <w:tcW w:w="4678"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Отрасли</w:t>
            </w:r>
          </w:p>
        </w:tc>
        <w:tc>
          <w:tcPr>
            <w:tcW w:w="1275"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 </w:t>
            </w:r>
          </w:p>
          <w:p w:rsidR="002123E6" w:rsidRPr="00906EA7" w:rsidRDefault="002123E6" w:rsidP="0045501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w:t>
            </w:r>
            <w:r w:rsidR="0045501F" w:rsidRPr="00906EA7">
              <w:rPr>
                <w:rFonts w:ascii="Times New Roman" w:hAnsi="Times New Roman" w:cs="Times New Roman"/>
                <w:sz w:val="20"/>
                <w:szCs w:val="20"/>
              </w:rPr>
              <w:t>/</w:t>
            </w:r>
            <w:r w:rsidRPr="00906EA7">
              <w:rPr>
                <w:rFonts w:ascii="Times New Roman" w:hAnsi="Times New Roman" w:cs="Times New Roman"/>
                <w:sz w:val="20"/>
                <w:szCs w:val="20"/>
              </w:rPr>
              <w:t>2018</w:t>
            </w:r>
          </w:p>
        </w:tc>
      </w:tr>
      <w:tr w:rsidR="00007E74" w:rsidRPr="00906EA7" w:rsidTr="0097253F">
        <w:trPr>
          <w:cantSplit/>
          <w:trHeight w:val="373"/>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625FE7" w:rsidRDefault="00007E74" w:rsidP="0097253F">
            <w:pPr>
              <w:spacing w:after="0" w:line="240" w:lineRule="auto"/>
              <w:rPr>
                <w:rFonts w:ascii="Times New Roman" w:hAnsi="Times New Roman" w:cs="Times New Roman"/>
                <w:sz w:val="24"/>
                <w:szCs w:val="24"/>
              </w:rPr>
            </w:pPr>
            <w:r w:rsidRPr="00625FE7">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59351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66166</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71706</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108,37</w:t>
            </w:r>
          </w:p>
        </w:tc>
      </w:tr>
      <w:tr w:rsidR="00007E74" w:rsidRPr="00906EA7" w:rsidTr="0097253F">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Добыча полезных ископаемых</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89635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97159</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108325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111,49</w:t>
            </w:r>
          </w:p>
        </w:tc>
      </w:tr>
      <w:tr w:rsidR="00007E74" w:rsidRPr="00906EA7" w:rsidTr="0097253F">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Обрабатывающие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43718</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46310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50839</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109,78</w:t>
            </w:r>
          </w:p>
        </w:tc>
      </w:tr>
      <w:tr w:rsidR="00007E74" w:rsidRPr="00906EA7" w:rsidTr="0097253F">
        <w:trPr>
          <w:cantSplit/>
          <w:trHeight w:val="406"/>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59820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63061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68234</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108,20</w:t>
            </w:r>
          </w:p>
        </w:tc>
      </w:tr>
      <w:tr w:rsidR="00007E74" w:rsidRPr="00906EA7" w:rsidTr="0097253F">
        <w:trPr>
          <w:cantSplit/>
          <w:trHeight w:val="120"/>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Строительство</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51043</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60040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59171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98,55</w:t>
            </w:r>
          </w:p>
        </w:tc>
      </w:tr>
      <w:tr w:rsidR="00007E74" w:rsidRPr="00906EA7" w:rsidTr="0097253F">
        <w:trPr>
          <w:cantSplit/>
          <w:trHeight w:val="634"/>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Торговля оптовая и розничная; ремонт автотранспортных средств и мотоциклов</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33721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34127</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37153</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108,87</w:t>
            </w:r>
          </w:p>
        </w:tc>
      </w:tr>
      <w:tr w:rsidR="00007E74" w:rsidRPr="00906EA7" w:rsidTr="0097253F">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Транспортировка и 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45052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48112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53936</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112,11</w:t>
            </w:r>
          </w:p>
        </w:tc>
      </w:tr>
      <w:tr w:rsidR="00007E74" w:rsidRPr="00906EA7" w:rsidTr="0097253F">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финансовая и страховая</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61522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64102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71647</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111,77</w:t>
            </w:r>
          </w:p>
        </w:tc>
      </w:tr>
      <w:tr w:rsidR="00007E74" w:rsidRPr="00906EA7" w:rsidTr="0097253F">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профессиональная, научная и техническая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61194</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65545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72145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110,07</w:t>
            </w:r>
          </w:p>
        </w:tc>
      </w:tr>
      <w:tr w:rsidR="00007E74" w:rsidRPr="00906EA7" w:rsidTr="0097253F">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административная и сопутствующие дополнительные услуги</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34164</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34177</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36696</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107,37</w:t>
            </w:r>
          </w:p>
        </w:tc>
      </w:tr>
      <w:tr w:rsidR="00007E74" w:rsidRPr="00906EA7" w:rsidTr="0097253F">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71732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73611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79222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107,62</w:t>
            </w:r>
          </w:p>
        </w:tc>
      </w:tr>
      <w:tr w:rsidR="00007E74" w:rsidRPr="00906EA7" w:rsidTr="0097253F">
        <w:trPr>
          <w:cantSplit/>
          <w:trHeight w:val="227"/>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43477</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49162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52148</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106,07</w:t>
            </w:r>
          </w:p>
        </w:tc>
      </w:tr>
      <w:tr w:rsidR="00007E74" w:rsidRPr="00906EA7" w:rsidTr="0097253F">
        <w:trPr>
          <w:cantSplit/>
          <w:trHeight w:val="382"/>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в области здравоохранения и социальных услуг</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54675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68260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70980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103,98</w:t>
            </w:r>
          </w:p>
        </w:tc>
      </w:tr>
      <w:tr w:rsidR="00007E74" w:rsidRPr="00906EA7" w:rsidTr="0097253F">
        <w:trPr>
          <w:cantSplit/>
          <w:trHeight w:val="566"/>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в области культуры, спорта, организации досуга и развлечений</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48722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60632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62368</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102,86</w:t>
            </w:r>
          </w:p>
        </w:tc>
      </w:tr>
    </w:tbl>
    <w:p w:rsidR="00DF672C" w:rsidRPr="00906EA7" w:rsidRDefault="00DF672C" w:rsidP="0097253F">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p>
    <w:p w:rsidR="00DF672C" w:rsidRPr="00906EA7" w:rsidRDefault="00422A61" w:rsidP="0097253F">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З</w:t>
      </w:r>
      <w:r w:rsidR="00DF672C" w:rsidRPr="00906EA7">
        <w:rPr>
          <w:rFonts w:ascii="Times New Roman" w:hAnsi="Times New Roman" w:cs="Times New Roman"/>
          <w:sz w:val="24"/>
          <w:szCs w:val="24"/>
        </w:rPr>
        <w:t xml:space="preserve">начительный прирост, </w:t>
      </w:r>
      <w:r w:rsidRPr="00906EA7">
        <w:rPr>
          <w:rFonts w:ascii="Times New Roman" w:hAnsi="Times New Roman" w:cs="Times New Roman"/>
          <w:sz w:val="24"/>
          <w:szCs w:val="24"/>
        </w:rPr>
        <w:t xml:space="preserve">от </w:t>
      </w:r>
      <w:r w:rsidR="00737266" w:rsidRPr="00906EA7">
        <w:rPr>
          <w:rFonts w:ascii="Times New Roman" w:hAnsi="Times New Roman" w:cs="Times New Roman"/>
          <w:sz w:val="24"/>
          <w:szCs w:val="24"/>
        </w:rPr>
        <w:t>111,49</w:t>
      </w:r>
      <w:r w:rsidR="00DF672C" w:rsidRPr="00906EA7">
        <w:rPr>
          <w:rFonts w:ascii="Times New Roman" w:hAnsi="Times New Roman" w:cs="Times New Roman"/>
          <w:sz w:val="24"/>
          <w:szCs w:val="24"/>
        </w:rPr>
        <w:t>%</w:t>
      </w:r>
      <w:r w:rsidRPr="00906EA7">
        <w:rPr>
          <w:rFonts w:ascii="Times New Roman" w:hAnsi="Times New Roman" w:cs="Times New Roman"/>
          <w:sz w:val="24"/>
          <w:szCs w:val="24"/>
        </w:rPr>
        <w:t xml:space="preserve"> до 112,11%</w:t>
      </w:r>
      <w:r w:rsidR="00DF672C" w:rsidRPr="00906EA7">
        <w:rPr>
          <w:rFonts w:ascii="Times New Roman" w:hAnsi="Times New Roman" w:cs="Times New Roman"/>
          <w:sz w:val="24"/>
          <w:szCs w:val="24"/>
        </w:rPr>
        <w:t xml:space="preserve">,  произошел у работников </w:t>
      </w:r>
      <w:r w:rsidRPr="00906EA7">
        <w:rPr>
          <w:rFonts w:ascii="Times New Roman" w:hAnsi="Times New Roman" w:cs="Times New Roman"/>
          <w:sz w:val="24"/>
          <w:szCs w:val="24"/>
        </w:rPr>
        <w:t xml:space="preserve">в </w:t>
      </w:r>
      <w:r w:rsidR="00DF672C" w:rsidRPr="00906EA7">
        <w:rPr>
          <w:rFonts w:ascii="Times New Roman" w:hAnsi="Times New Roman" w:cs="Times New Roman"/>
          <w:sz w:val="24"/>
          <w:szCs w:val="24"/>
        </w:rPr>
        <w:t>сфер</w:t>
      </w:r>
      <w:r w:rsidRPr="00906EA7">
        <w:rPr>
          <w:rFonts w:ascii="Times New Roman" w:hAnsi="Times New Roman" w:cs="Times New Roman"/>
          <w:sz w:val="24"/>
          <w:szCs w:val="24"/>
        </w:rPr>
        <w:t>е</w:t>
      </w:r>
      <w:r w:rsidR="00DF672C" w:rsidRPr="00906EA7">
        <w:rPr>
          <w:rFonts w:ascii="Times New Roman" w:hAnsi="Times New Roman" w:cs="Times New Roman"/>
          <w:sz w:val="24"/>
          <w:szCs w:val="24"/>
        </w:rPr>
        <w:t xml:space="preserve"> </w:t>
      </w:r>
      <w:r w:rsidRPr="00906EA7">
        <w:rPr>
          <w:rFonts w:ascii="Times New Roman" w:hAnsi="Times New Roman" w:cs="Times New Roman"/>
          <w:sz w:val="24"/>
          <w:szCs w:val="24"/>
        </w:rPr>
        <w:t>добычи полезных ископаемых, транспортировки и хранения, финансовой и страховой деятельности.</w:t>
      </w:r>
    </w:p>
    <w:p w:rsidR="00DF672C" w:rsidRPr="00906EA7" w:rsidRDefault="00DF672C" w:rsidP="0097253F">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lastRenderedPageBreak/>
        <w:t xml:space="preserve">В пределах </w:t>
      </w:r>
      <w:r w:rsidR="00422A61" w:rsidRPr="00906EA7">
        <w:rPr>
          <w:rFonts w:ascii="Times New Roman" w:hAnsi="Times New Roman" w:cs="Times New Roman"/>
          <w:sz w:val="24"/>
          <w:szCs w:val="24"/>
        </w:rPr>
        <w:t>3,98</w:t>
      </w:r>
      <w:r w:rsidRPr="00906EA7">
        <w:rPr>
          <w:rFonts w:ascii="Times New Roman" w:hAnsi="Times New Roman" w:cs="Times New Roman"/>
          <w:sz w:val="24"/>
          <w:szCs w:val="24"/>
        </w:rPr>
        <w:t>-</w:t>
      </w:r>
      <w:r w:rsidR="00422A61" w:rsidRPr="00906EA7">
        <w:rPr>
          <w:rFonts w:ascii="Times New Roman" w:hAnsi="Times New Roman" w:cs="Times New Roman"/>
          <w:sz w:val="24"/>
          <w:szCs w:val="24"/>
        </w:rPr>
        <w:t>6,07</w:t>
      </w:r>
      <w:r w:rsidRPr="00906EA7">
        <w:rPr>
          <w:rFonts w:ascii="Times New Roman" w:hAnsi="Times New Roman" w:cs="Times New Roman"/>
          <w:sz w:val="24"/>
          <w:szCs w:val="24"/>
        </w:rPr>
        <w:t>% отмечается рост уровня заработной платы</w:t>
      </w:r>
      <w:r w:rsidR="00422A61" w:rsidRPr="00906EA7">
        <w:rPr>
          <w:rFonts w:ascii="Times New Roman" w:hAnsi="Times New Roman" w:cs="Times New Roman"/>
          <w:sz w:val="24"/>
          <w:szCs w:val="24"/>
        </w:rPr>
        <w:t xml:space="preserve"> у работников бюджетной сферы благодаря ежегодной индексации </w:t>
      </w:r>
      <w:r w:rsidR="006D296E" w:rsidRPr="00906EA7">
        <w:rPr>
          <w:rFonts w:ascii="Times New Roman" w:hAnsi="Times New Roman" w:cs="Times New Roman"/>
          <w:sz w:val="24"/>
          <w:szCs w:val="24"/>
        </w:rPr>
        <w:t xml:space="preserve">фонда оплаты труда </w:t>
      </w:r>
      <w:r w:rsidR="00422A61" w:rsidRPr="00906EA7">
        <w:rPr>
          <w:rFonts w:ascii="Times New Roman" w:hAnsi="Times New Roman" w:cs="Times New Roman"/>
          <w:sz w:val="24"/>
          <w:szCs w:val="24"/>
        </w:rPr>
        <w:t>с учетом инфляционного показателя.</w:t>
      </w:r>
    </w:p>
    <w:p w:rsidR="00422A61" w:rsidRPr="00906EA7" w:rsidRDefault="00422A61" w:rsidP="0097253F">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p>
    <w:p w:rsidR="00DF672C" w:rsidRPr="00906EA7" w:rsidRDefault="00DF672C"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Денежные расходы населения</w:t>
      </w:r>
      <w:r w:rsidR="00422A61" w:rsidRPr="00906EA7">
        <w:rPr>
          <w:rFonts w:ascii="Times New Roman" w:eastAsia="Times New Roman" w:hAnsi="Times New Roman" w:cs="Times New Roman"/>
          <w:sz w:val="24"/>
          <w:szCs w:val="24"/>
          <w:lang w:eastAsia="ru-RU"/>
        </w:rPr>
        <w:t xml:space="preserve"> </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Показатель денежных среднемесячных расходов населения так же имеет тенденцию к увеличению, и за 201</w:t>
      </w:r>
      <w:r w:rsidR="005F04D9"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увеличившись к аналогичному показателю 201</w:t>
      </w:r>
      <w:r w:rsidR="005F04D9"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года на </w:t>
      </w:r>
      <w:r w:rsidR="005F04D9" w:rsidRPr="00906EA7">
        <w:rPr>
          <w:rFonts w:ascii="Times New Roman" w:eastAsia="Times New Roman" w:hAnsi="Times New Roman" w:cs="Times New Roman"/>
          <w:sz w:val="24"/>
          <w:szCs w:val="24"/>
          <w:lang w:eastAsia="ru-RU"/>
        </w:rPr>
        <w:t>3,58</w:t>
      </w:r>
      <w:r w:rsidRPr="00906EA7">
        <w:rPr>
          <w:rFonts w:ascii="Times New Roman" w:eastAsia="Times New Roman" w:hAnsi="Times New Roman" w:cs="Times New Roman"/>
          <w:sz w:val="24"/>
          <w:szCs w:val="24"/>
          <w:lang w:eastAsia="ru-RU"/>
        </w:rPr>
        <w:t xml:space="preserve">%, составил </w:t>
      </w:r>
      <w:r w:rsidR="005F04D9" w:rsidRPr="00906EA7">
        <w:rPr>
          <w:rFonts w:ascii="Times New Roman" w:eastAsia="Times New Roman" w:hAnsi="Times New Roman" w:cs="Times New Roman"/>
          <w:sz w:val="24"/>
          <w:szCs w:val="24"/>
          <w:lang w:eastAsia="ru-RU"/>
        </w:rPr>
        <w:t>32960</w:t>
      </w:r>
      <w:r w:rsidRPr="00906EA7">
        <w:rPr>
          <w:rFonts w:ascii="Times New Roman" w:eastAsia="Times New Roman" w:hAnsi="Times New Roman" w:cs="Times New Roman"/>
          <w:sz w:val="24"/>
          <w:szCs w:val="24"/>
          <w:lang w:eastAsia="ru-RU"/>
        </w:rPr>
        <w:t xml:space="preserve">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на одного жителя в месяц.</w:t>
      </w:r>
    </w:p>
    <w:p w:rsidR="00DF672C" w:rsidRDefault="00DF672C" w:rsidP="0097253F">
      <w:pPr>
        <w:spacing w:after="0" w:line="240" w:lineRule="auto"/>
        <w:ind w:firstLine="709"/>
        <w:jc w:val="both"/>
        <w:rPr>
          <w:rFonts w:ascii="Times New Roman" w:eastAsia="Times New Roman" w:hAnsi="Times New Roman" w:cs="Times New Roman"/>
          <w:sz w:val="24"/>
          <w:szCs w:val="24"/>
          <w:lang w:eastAsia="ru-RU"/>
        </w:rPr>
      </w:pPr>
    </w:p>
    <w:p w:rsidR="00651B1B" w:rsidRPr="00906EA7" w:rsidRDefault="00651B1B" w:rsidP="0097253F">
      <w:pPr>
        <w:spacing w:after="0" w:line="240" w:lineRule="auto"/>
        <w:ind w:firstLine="709"/>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Показатели денежных расходов населения за 201</w:t>
      </w:r>
      <w:r w:rsidR="00412D6E"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412D6E"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F01FFC" w:rsidRPr="00906EA7" w:rsidRDefault="00F01FFC" w:rsidP="0097253F">
      <w:pPr>
        <w:spacing w:after="0" w:line="240" w:lineRule="auto"/>
        <w:ind w:firstLine="709"/>
        <w:jc w:val="center"/>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right"/>
        <w:rPr>
          <w:rFonts w:ascii="Times New Roman" w:eastAsia="Times New Roman" w:hAnsi="Times New Roman" w:cs="Times New Roman"/>
          <w:sz w:val="16"/>
          <w:szCs w:val="16"/>
          <w:lang w:eastAsia="ru-RU"/>
        </w:rPr>
      </w:pPr>
      <w:r w:rsidRPr="00906EA7">
        <w:rPr>
          <w:rFonts w:ascii="Times New Roman" w:eastAsia="Times New Roman" w:hAnsi="Times New Roman" w:cs="Times New Roman"/>
          <w:sz w:val="16"/>
          <w:szCs w:val="16"/>
          <w:lang w:eastAsia="ru-RU"/>
        </w:rPr>
        <w:t>млн руб</w:t>
      </w:r>
      <w:r w:rsidR="00AA7DD6" w:rsidRPr="00906EA7">
        <w:rPr>
          <w:rFonts w:ascii="Times New Roman" w:eastAsia="Times New Roman" w:hAnsi="Times New Roman" w:cs="Times New Roman"/>
          <w:sz w:val="16"/>
          <w:szCs w:val="16"/>
          <w:lang w:eastAsia="ru-RU"/>
        </w:rPr>
        <w:t>.</w:t>
      </w:r>
    </w:p>
    <w:tbl>
      <w:tblPr>
        <w:tblW w:w="9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1173"/>
        <w:gridCol w:w="1173"/>
        <w:gridCol w:w="1173"/>
        <w:gridCol w:w="1174"/>
      </w:tblGrid>
      <w:tr w:rsidR="00412D6E" w:rsidRPr="00906EA7" w:rsidTr="0097253F">
        <w:trPr>
          <w:trHeight w:val="758"/>
          <w:tblHeader/>
        </w:trPr>
        <w:tc>
          <w:tcPr>
            <w:tcW w:w="5012" w:type="dxa"/>
            <w:tcBorders>
              <w:top w:val="single" w:sz="4" w:space="0" w:color="auto"/>
              <w:left w:val="single" w:sz="4" w:space="0" w:color="auto"/>
              <w:bottom w:val="single" w:sz="4" w:space="0" w:color="auto"/>
              <w:right w:val="single" w:sz="4" w:space="0" w:color="auto"/>
            </w:tcBorders>
            <w:vAlign w:val="center"/>
            <w:hideMark/>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174" w:type="dxa"/>
            <w:tcBorders>
              <w:top w:val="single" w:sz="4" w:space="0" w:color="auto"/>
              <w:left w:val="single" w:sz="4" w:space="0" w:color="auto"/>
              <w:bottom w:val="single" w:sz="4" w:space="0" w:color="auto"/>
              <w:right w:val="single" w:sz="4" w:space="0" w:color="auto"/>
            </w:tcBorders>
            <w:vAlign w:val="center"/>
            <w:hideMark/>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2019</w:t>
            </w:r>
            <w:r w:rsidR="0045501F"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412D6E" w:rsidRPr="00906EA7" w:rsidTr="00123E83">
        <w:trPr>
          <w:trHeight w:val="337"/>
        </w:trPr>
        <w:tc>
          <w:tcPr>
            <w:tcW w:w="5012" w:type="dxa"/>
            <w:tcBorders>
              <w:top w:val="single" w:sz="4" w:space="0" w:color="auto"/>
              <w:left w:val="single" w:sz="4" w:space="0" w:color="auto"/>
              <w:bottom w:val="single" w:sz="4" w:space="0" w:color="auto"/>
              <w:right w:val="single" w:sz="4" w:space="0" w:color="auto"/>
            </w:tcBorders>
            <w:vAlign w:val="center"/>
            <w:hideMark/>
          </w:tcPr>
          <w:p w:rsidR="00412D6E" w:rsidRPr="00906EA7" w:rsidRDefault="00412D6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Денежные расходы и сбережения населения, всего</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20058,5</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20785,9</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21355,5</w:t>
            </w:r>
          </w:p>
        </w:tc>
        <w:tc>
          <w:tcPr>
            <w:tcW w:w="1174" w:type="dxa"/>
            <w:tcBorders>
              <w:top w:val="single" w:sz="4" w:space="0" w:color="auto"/>
              <w:left w:val="single" w:sz="4" w:space="0" w:color="auto"/>
              <w:bottom w:val="single" w:sz="4" w:space="0" w:color="auto"/>
              <w:right w:val="single" w:sz="4" w:space="0" w:color="auto"/>
            </w:tcBorders>
            <w:vAlign w:val="center"/>
          </w:tcPr>
          <w:p w:rsidR="00412D6E"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102,74</w:t>
            </w:r>
          </w:p>
        </w:tc>
      </w:tr>
      <w:tr w:rsidR="00412D6E" w:rsidRPr="00906EA7" w:rsidTr="00123E83">
        <w:trPr>
          <w:trHeight w:val="177"/>
        </w:trPr>
        <w:tc>
          <w:tcPr>
            <w:tcW w:w="5012" w:type="dxa"/>
            <w:tcBorders>
              <w:top w:val="single" w:sz="4" w:space="0" w:color="auto"/>
              <w:left w:val="single" w:sz="4" w:space="0" w:color="auto"/>
              <w:bottom w:val="single" w:sz="4" w:space="0" w:color="auto"/>
              <w:right w:val="single" w:sz="4" w:space="0" w:color="auto"/>
            </w:tcBorders>
            <w:vAlign w:val="center"/>
            <w:hideMark/>
          </w:tcPr>
          <w:p w:rsidR="00412D6E" w:rsidRPr="00906EA7" w:rsidRDefault="00412D6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том числе:</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p>
        </w:tc>
      </w:tr>
      <w:tr w:rsidR="00873F72" w:rsidRPr="00906EA7" w:rsidTr="00873F72">
        <w:trPr>
          <w:trHeight w:val="498"/>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Покупка товаров и оплата услуг, всего</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16225,6</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16726,3</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17228,1</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w:t>
            </w:r>
            <w:r w:rsidR="002837BF" w:rsidRPr="00906EA7">
              <w:rPr>
                <w:rFonts w:ascii="Times New Roman" w:eastAsia="Times New Roman" w:hAnsi="Times New Roman" w:cs="Times New Roman"/>
                <w:sz w:val="24"/>
                <w:szCs w:val="24"/>
                <w:lang w:eastAsia="ru-RU"/>
              </w:rPr>
              <w:t>3</w:t>
            </w:r>
            <w:r w:rsidRPr="00906EA7">
              <w:rPr>
                <w:rFonts w:ascii="Times New Roman" w:eastAsia="Times New Roman" w:hAnsi="Times New Roman" w:cs="Times New Roman"/>
                <w:sz w:val="24"/>
                <w:szCs w:val="24"/>
                <w:lang w:eastAsia="ru-RU"/>
              </w:rPr>
              <w:t>,00</w:t>
            </w:r>
          </w:p>
        </w:tc>
      </w:tr>
      <w:tr w:rsidR="00873F72" w:rsidRPr="00906EA7" w:rsidTr="0097253F">
        <w:trPr>
          <w:trHeight w:val="619"/>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Обязательные платежи и разнообразные взносы</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1519,7</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1581,3</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1641,4</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103,8</w:t>
            </w:r>
          </w:p>
        </w:tc>
      </w:tr>
      <w:tr w:rsidR="00873F72" w:rsidRPr="00906EA7" w:rsidTr="0097253F">
        <w:trPr>
          <w:trHeight w:val="699"/>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Сбережения в денежном эквиваленте и ценных бумагах</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720,9</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733,6</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719,6</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98,09</w:t>
            </w:r>
          </w:p>
        </w:tc>
      </w:tr>
      <w:tr w:rsidR="00873F72" w:rsidRPr="00906EA7" w:rsidTr="0097253F">
        <w:trPr>
          <w:trHeight w:val="635"/>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 Расходы населения на покупку недвижимости</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820,7</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920,3</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930,4</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101,1</w:t>
            </w:r>
          </w:p>
        </w:tc>
      </w:tr>
      <w:tr w:rsidR="00873F72" w:rsidRPr="00906EA7" w:rsidTr="0097253F">
        <w:trPr>
          <w:trHeight w:val="701"/>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 Расходы населения на приобретение иностранной валюты</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261,4</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289,5</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282,3</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97,51</w:t>
            </w:r>
          </w:p>
        </w:tc>
      </w:tr>
      <w:tr w:rsidR="00873F72" w:rsidRPr="00906EA7" w:rsidTr="00873F72">
        <w:trPr>
          <w:trHeight w:val="498"/>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6. Прочие расходы </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510,2</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534,9</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541,3</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101,2</w:t>
            </w:r>
          </w:p>
        </w:tc>
      </w:tr>
      <w:tr w:rsidR="00873F72" w:rsidRPr="00906EA7" w:rsidTr="00873F72">
        <w:trPr>
          <w:trHeight w:val="498"/>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562B3A">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Сумма расходов на 1 жителя в месяц, руб</w:t>
            </w:r>
            <w:r w:rsidR="00562B3A" w:rsidRPr="00906EA7">
              <w:rPr>
                <w:rFonts w:ascii="Times New Roman" w:eastAsia="Times New Roman" w:hAnsi="Times New Roman" w:cs="Times New Roman"/>
                <w:sz w:val="24"/>
                <w:szCs w:val="24"/>
                <w:lang w:eastAsia="ru-RU"/>
              </w:rPr>
              <w:t>.</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30414</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31821</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32960</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103,58</w:t>
            </w:r>
          </w:p>
        </w:tc>
      </w:tr>
    </w:tbl>
    <w:p w:rsidR="00DF672C" w:rsidRPr="00906EA7" w:rsidRDefault="00DF672C" w:rsidP="0097253F">
      <w:pPr>
        <w:spacing w:after="0" w:line="240" w:lineRule="auto"/>
        <w:ind w:firstLine="708"/>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статьям расходов изменения складываются следующим образом:</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3</w:t>
      </w:r>
      <w:r w:rsidR="00873F72" w:rsidRPr="00906EA7">
        <w:rPr>
          <w:rFonts w:ascii="Times New Roman" w:eastAsia="Times New Roman" w:hAnsi="Times New Roman" w:cs="Times New Roman"/>
          <w:sz w:val="24"/>
          <w:szCs w:val="24"/>
          <w:lang w:eastAsia="ru-RU"/>
        </w:rPr>
        <w:t>,0</w:t>
      </w:r>
      <w:r w:rsidRPr="00906EA7">
        <w:rPr>
          <w:rFonts w:ascii="Times New Roman" w:eastAsia="Times New Roman" w:hAnsi="Times New Roman" w:cs="Times New Roman"/>
          <w:sz w:val="24"/>
          <w:szCs w:val="24"/>
          <w:lang w:eastAsia="ru-RU"/>
        </w:rPr>
        <w:t>% выросли расходы на покупку товаров и услуг по причине роста цен на товары и услуги;</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3,8</w:t>
      </w:r>
      <w:r w:rsidRPr="00906EA7">
        <w:rPr>
          <w:rFonts w:ascii="Times New Roman" w:eastAsia="Times New Roman" w:hAnsi="Times New Roman" w:cs="Times New Roman"/>
          <w:sz w:val="24"/>
          <w:szCs w:val="24"/>
          <w:lang w:eastAsia="ru-RU"/>
        </w:rPr>
        <w:t>% выросла сумма обязательных платежей и разнообразных взносов по причине роста ставочных величин;</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1,9</w:t>
      </w:r>
      <w:r w:rsidR="0064755D"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w:t>
      </w:r>
      <w:r w:rsidR="002837BF" w:rsidRPr="00906EA7">
        <w:rPr>
          <w:rFonts w:ascii="Times New Roman" w:eastAsia="Times New Roman" w:hAnsi="Times New Roman" w:cs="Times New Roman"/>
          <w:sz w:val="24"/>
          <w:szCs w:val="24"/>
          <w:lang w:eastAsia="ru-RU"/>
        </w:rPr>
        <w:t>снизился</w:t>
      </w:r>
      <w:r w:rsidRPr="00906EA7">
        <w:rPr>
          <w:rFonts w:ascii="Times New Roman" w:eastAsia="Times New Roman" w:hAnsi="Times New Roman" w:cs="Times New Roman"/>
          <w:sz w:val="24"/>
          <w:szCs w:val="24"/>
          <w:lang w:eastAsia="ru-RU"/>
        </w:rPr>
        <w:t xml:space="preserve"> объем сбережений во вкладах и ценных бумагах по причине снижения величины депозита и ставок рынка ценных бумаг;</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1,1</w:t>
      </w:r>
      <w:r w:rsidRPr="00906EA7">
        <w:rPr>
          <w:rFonts w:ascii="Times New Roman" w:eastAsia="Times New Roman" w:hAnsi="Times New Roman" w:cs="Times New Roman"/>
          <w:sz w:val="24"/>
          <w:szCs w:val="24"/>
          <w:lang w:eastAsia="ru-RU"/>
        </w:rPr>
        <w:t xml:space="preserve">% выросла сумма расходов на приобретение недвижимости. </w:t>
      </w:r>
      <w:r w:rsidR="00873F72" w:rsidRPr="00906EA7">
        <w:rPr>
          <w:rFonts w:ascii="Times New Roman" w:eastAsia="Times New Roman" w:hAnsi="Times New Roman" w:cs="Times New Roman"/>
          <w:sz w:val="24"/>
          <w:szCs w:val="24"/>
          <w:lang w:eastAsia="ru-RU"/>
        </w:rPr>
        <w:t>Р</w:t>
      </w:r>
      <w:r w:rsidRPr="00906EA7">
        <w:rPr>
          <w:rFonts w:ascii="Times New Roman" w:eastAsia="Times New Roman" w:hAnsi="Times New Roman" w:cs="Times New Roman"/>
          <w:sz w:val="24"/>
          <w:szCs w:val="24"/>
          <w:lang w:eastAsia="ru-RU"/>
        </w:rPr>
        <w:t xml:space="preserve">ост суммы произошел в связи с приобретением жилья взамен снесенных приспособленных и непригодных жилых объектов в рамках программы по улучшению жилищных условий с </w:t>
      </w:r>
      <w:r w:rsidR="00461C37" w:rsidRPr="00906EA7">
        <w:rPr>
          <w:rFonts w:ascii="Times New Roman" w:eastAsia="Times New Roman" w:hAnsi="Times New Roman" w:cs="Times New Roman"/>
          <w:sz w:val="24"/>
          <w:szCs w:val="24"/>
          <w:lang w:eastAsia="ru-RU"/>
        </w:rPr>
        <w:t>использова</w:t>
      </w:r>
      <w:r w:rsidRPr="00906EA7">
        <w:rPr>
          <w:rFonts w:ascii="Times New Roman" w:eastAsia="Times New Roman" w:hAnsi="Times New Roman" w:cs="Times New Roman"/>
          <w:sz w:val="24"/>
          <w:szCs w:val="24"/>
          <w:lang w:eastAsia="ru-RU"/>
        </w:rPr>
        <w:t>нием субсидий из регионального бюджета;</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2,5</w:t>
      </w:r>
      <w:r w:rsidRPr="00906EA7">
        <w:rPr>
          <w:rFonts w:ascii="Times New Roman" w:eastAsia="Times New Roman" w:hAnsi="Times New Roman" w:cs="Times New Roman"/>
          <w:sz w:val="24"/>
          <w:szCs w:val="24"/>
          <w:lang w:eastAsia="ru-RU"/>
        </w:rPr>
        <w:t xml:space="preserve">% </w:t>
      </w:r>
      <w:r w:rsidR="002837BF" w:rsidRPr="00906EA7">
        <w:rPr>
          <w:rFonts w:ascii="Times New Roman" w:eastAsia="Times New Roman" w:hAnsi="Times New Roman" w:cs="Times New Roman"/>
          <w:sz w:val="24"/>
          <w:szCs w:val="24"/>
          <w:lang w:eastAsia="ru-RU"/>
        </w:rPr>
        <w:t>снизилась</w:t>
      </w:r>
      <w:r w:rsidR="00461C37" w:rsidRPr="00906EA7">
        <w:rPr>
          <w:rFonts w:ascii="Times New Roman" w:eastAsia="Times New Roman" w:hAnsi="Times New Roman" w:cs="Times New Roman"/>
          <w:sz w:val="24"/>
          <w:szCs w:val="24"/>
          <w:lang w:eastAsia="ru-RU"/>
        </w:rPr>
        <w:t xml:space="preserve"> статья расходов на </w:t>
      </w:r>
      <w:r w:rsidRPr="00906EA7">
        <w:rPr>
          <w:rFonts w:ascii="Times New Roman" w:eastAsia="Times New Roman" w:hAnsi="Times New Roman" w:cs="Times New Roman"/>
          <w:sz w:val="24"/>
          <w:szCs w:val="24"/>
          <w:lang w:eastAsia="ru-RU"/>
        </w:rPr>
        <w:t xml:space="preserve"> приобретение валют</w:t>
      </w:r>
      <w:r w:rsidR="0051488E"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 xml:space="preserve">в связи с </w:t>
      </w:r>
      <w:r w:rsidR="006F0139" w:rsidRPr="00906EA7">
        <w:rPr>
          <w:rFonts w:ascii="Times New Roman" w:eastAsia="Times New Roman" w:hAnsi="Times New Roman" w:cs="Times New Roman"/>
          <w:sz w:val="24"/>
          <w:szCs w:val="24"/>
          <w:lang w:eastAsia="ru-RU"/>
        </w:rPr>
        <w:t xml:space="preserve">относительно </w:t>
      </w:r>
      <w:r w:rsidR="0051488E" w:rsidRPr="00906EA7">
        <w:rPr>
          <w:rFonts w:ascii="Times New Roman" w:eastAsia="Times New Roman" w:hAnsi="Times New Roman" w:cs="Times New Roman"/>
          <w:sz w:val="24"/>
          <w:szCs w:val="24"/>
          <w:lang w:eastAsia="ru-RU"/>
        </w:rPr>
        <w:t>стабильн</w:t>
      </w:r>
      <w:r w:rsidR="002E4789" w:rsidRPr="00906EA7">
        <w:rPr>
          <w:rFonts w:ascii="Times New Roman" w:eastAsia="Times New Roman" w:hAnsi="Times New Roman" w:cs="Times New Roman"/>
          <w:sz w:val="24"/>
          <w:szCs w:val="24"/>
          <w:lang w:eastAsia="ru-RU"/>
        </w:rPr>
        <w:t>ым</w:t>
      </w:r>
      <w:r w:rsidR="0051488E" w:rsidRPr="00906EA7">
        <w:rPr>
          <w:rFonts w:ascii="Times New Roman" w:eastAsia="Times New Roman" w:hAnsi="Times New Roman" w:cs="Times New Roman"/>
          <w:sz w:val="24"/>
          <w:szCs w:val="24"/>
          <w:lang w:eastAsia="ru-RU"/>
        </w:rPr>
        <w:t xml:space="preserve"> </w:t>
      </w:r>
      <w:r w:rsidR="002E4789" w:rsidRPr="00906EA7">
        <w:rPr>
          <w:rFonts w:ascii="Times New Roman" w:eastAsia="Times New Roman" w:hAnsi="Times New Roman" w:cs="Times New Roman"/>
          <w:sz w:val="24"/>
          <w:szCs w:val="24"/>
          <w:lang w:eastAsia="ru-RU"/>
        </w:rPr>
        <w:t xml:space="preserve">курсом </w:t>
      </w:r>
      <w:r w:rsidR="00E07DC1" w:rsidRPr="00906EA7">
        <w:rPr>
          <w:rFonts w:ascii="Times New Roman" w:eastAsia="Times New Roman" w:hAnsi="Times New Roman" w:cs="Times New Roman"/>
          <w:sz w:val="24"/>
          <w:szCs w:val="24"/>
          <w:lang w:eastAsia="ru-RU"/>
        </w:rPr>
        <w:t>рубля</w:t>
      </w:r>
      <w:r w:rsidR="0051488E" w:rsidRPr="00906EA7">
        <w:rPr>
          <w:rFonts w:ascii="Times New Roman" w:eastAsia="Times New Roman" w:hAnsi="Times New Roman" w:cs="Times New Roman"/>
          <w:sz w:val="24"/>
          <w:szCs w:val="24"/>
          <w:lang w:eastAsia="ru-RU"/>
        </w:rPr>
        <w:t xml:space="preserve"> в 2019 году</w:t>
      </w:r>
      <w:r w:rsidRPr="00906EA7">
        <w:rPr>
          <w:rFonts w:ascii="Times New Roman" w:eastAsia="Times New Roman" w:hAnsi="Times New Roman" w:cs="Times New Roman"/>
          <w:sz w:val="24"/>
          <w:szCs w:val="24"/>
          <w:lang w:eastAsia="ru-RU"/>
        </w:rPr>
        <w:t>.</w:t>
      </w:r>
    </w:p>
    <w:p w:rsidR="0079258C" w:rsidRPr="00906EA7" w:rsidRDefault="0079258C" w:rsidP="0097253F">
      <w:pPr>
        <w:spacing w:after="0" w:line="240" w:lineRule="auto"/>
        <w:ind w:firstLine="709"/>
        <w:jc w:val="both"/>
        <w:rPr>
          <w:rFonts w:ascii="Times New Roman" w:eastAsia="Times New Roman" w:hAnsi="Times New Roman" w:cs="Times New Roman"/>
          <w:bCs/>
          <w:sz w:val="24"/>
          <w:szCs w:val="24"/>
          <w:lang w:eastAsia="ru-RU"/>
        </w:rPr>
      </w:pP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Баланс денежных доходов и расходов населения за 201</w:t>
      </w:r>
      <w:r w:rsidR="00BE2173"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BE2173"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DF672C" w:rsidRPr="00906EA7" w:rsidRDefault="00DF672C" w:rsidP="0097253F">
      <w:pPr>
        <w:spacing w:after="0" w:line="240" w:lineRule="auto"/>
        <w:ind w:firstLine="709"/>
        <w:jc w:val="center"/>
        <w:rPr>
          <w:rFonts w:ascii="Times New Roman" w:eastAsia="Times New Roman" w:hAnsi="Times New Roman" w:cs="Times New Roman"/>
          <w:sz w:val="4"/>
          <w:szCs w:val="4"/>
          <w:lang w:eastAsia="ru-RU"/>
        </w:rPr>
      </w:pPr>
    </w:p>
    <w:p w:rsidR="00DF672C" w:rsidRPr="00906EA7" w:rsidRDefault="0045501F" w:rsidP="0097253F">
      <w:pPr>
        <w:spacing w:after="0" w:line="240" w:lineRule="auto"/>
        <w:ind w:firstLine="709"/>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млн  руб.</w:t>
      </w:r>
    </w:p>
    <w:tbl>
      <w:tblPr>
        <w:tblW w:w="97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97"/>
        <w:gridCol w:w="1497"/>
        <w:gridCol w:w="1497"/>
        <w:gridCol w:w="1497"/>
        <w:gridCol w:w="1259"/>
      </w:tblGrid>
      <w:tr w:rsidR="00C240F5" w:rsidRPr="00906EA7" w:rsidTr="00123E83">
        <w:trPr>
          <w:trHeight w:val="417"/>
        </w:trPr>
        <w:tc>
          <w:tcPr>
            <w:tcW w:w="247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lastRenderedPageBreak/>
              <w:t>Показатели</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xml:space="preserve">%, </w:t>
            </w:r>
          </w:p>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к 2017</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25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xml:space="preserve">%, </w:t>
            </w:r>
          </w:p>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45501F"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C240F5" w:rsidRPr="00906EA7" w:rsidTr="00123E83">
        <w:trPr>
          <w:trHeight w:val="358"/>
        </w:trPr>
        <w:tc>
          <w:tcPr>
            <w:tcW w:w="247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Сумма доходов</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21984,9</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24756,3</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112,6</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26196</w:t>
            </w:r>
            <w:r w:rsidR="006C4653" w:rsidRPr="00906EA7">
              <w:rPr>
                <w:rFonts w:ascii="Times New Roman" w:eastAsia="Times New Roman" w:hAnsi="Times New Roman" w:cs="Times New Roman"/>
                <w:sz w:val="24"/>
                <w:szCs w:val="24"/>
                <w:lang w:eastAsia="ru-RU"/>
              </w:rPr>
              <w:t>,3</w:t>
            </w:r>
          </w:p>
        </w:tc>
        <w:tc>
          <w:tcPr>
            <w:tcW w:w="1259"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105,8</w:t>
            </w:r>
          </w:p>
        </w:tc>
      </w:tr>
      <w:tr w:rsidR="00C240F5" w:rsidRPr="00906EA7" w:rsidTr="00123E83">
        <w:trPr>
          <w:trHeight w:val="358"/>
        </w:trPr>
        <w:tc>
          <w:tcPr>
            <w:tcW w:w="247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Сумма расходов</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20058,5</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20785,9</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103,6</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E6111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21355,5</w:t>
            </w:r>
          </w:p>
        </w:tc>
        <w:tc>
          <w:tcPr>
            <w:tcW w:w="1259"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w:t>
            </w:r>
            <w:r w:rsidR="00E61112"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w:t>
            </w:r>
            <w:r w:rsidR="00E61112" w:rsidRPr="00906EA7">
              <w:rPr>
                <w:rFonts w:ascii="Times New Roman" w:eastAsia="Times New Roman" w:hAnsi="Times New Roman" w:cs="Times New Roman"/>
                <w:sz w:val="24"/>
                <w:szCs w:val="24"/>
                <w:lang w:eastAsia="ru-RU"/>
              </w:rPr>
              <w:t>7</w:t>
            </w:r>
          </w:p>
        </w:tc>
      </w:tr>
      <w:tr w:rsidR="00C240F5" w:rsidRPr="00906EA7" w:rsidTr="00123E83">
        <w:trPr>
          <w:trHeight w:val="358"/>
        </w:trPr>
        <w:tc>
          <w:tcPr>
            <w:tcW w:w="247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Сальдо</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1926,4</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3970,4</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 раза</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E6111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4840,</w:t>
            </w:r>
            <w:r w:rsidR="006C4653" w:rsidRPr="00906EA7">
              <w:rPr>
                <w:rFonts w:ascii="Times New Roman" w:eastAsia="Times New Roman" w:hAnsi="Times New Roman" w:cs="Times New Roman"/>
                <w:sz w:val="24"/>
                <w:szCs w:val="24"/>
                <w:lang w:eastAsia="ru-RU"/>
              </w:rPr>
              <w:t>8</w:t>
            </w:r>
          </w:p>
        </w:tc>
        <w:tc>
          <w:tcPr>
            <w:tcW w:w="1259" w:type="dxa"/>
            <w:tcBorders>
              <w:top w:val="single" w:sz="4" w:space="0" w:color="auto"/>
              <w:left w:val="single" w:sz="4" w:space="0" w:color="auto"/>
              <w:bottom w:val="single" w:sz="4" w:space="0" w:color="auto"/>
              <w:right w:val="single" w:sz="4" w:space="0" w:color="auto"/>
            </w:tcBorders>
            <w:vAlign w:val="center"/>
          </w:tcPr>
          <w:p w:rsidR="00C240F5" w:rsidRPr="00906EA7" w:rsidRDefault="00E6111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121,9</w:t>
            </w:r>
          </w:p>
        </w:tc>
      </w:tr>
    </w:tbl>
    <w:p w:rsidR="00DF672C" w:rsidRPr="00906EA7" w:rsidRDefault="00DF672C" w:rsidP="0097253F">
      <w:pPr>
        <w:spacing w:after="0" w:line="240" w:lineRule="auto"/>
        <w:ind w:firstLine="708"/>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Times New Roman" w:hAnsi="Times New Roman" w:cs="Times New Roman"/>
          <w:sz w:val="24"/>
          <w:szCs w:val="24"/>
          <w:lang w:eastAsia="ru-RU"/>
        </w:rPr>
        <w:t>Положительный баланс денежных доходов и расходов за 201</w:t>
      </w:r>
      <w:r w:rsidR="006B77CD"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в сравнении с показателем за 201</w:t>
      </w:r>
      <w:r w:rsidR="006B77CD"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года, вырос </w:t>
      </w:r>
      <w:r w:rsidR="006B77CD" w:rsidRPr="00906EA7">
        <w:rPr>
          <w:rFonts w:ascii="Times New Roman" w:eastAsia="Times New Roman" w:hAnsi="Times New Roman" w:cs="Times New Roman"/>
          <w:sz w:val="24"/>
          <w:szCs w:val="24"/>
          <w:lang w:eastAsia="ru-RU"/>
        </w:rPr>
        <w:t>на 21,9%</w:t>
      </w:r>
      <w:r w:rsidRPr="00906EA7">
        <w:rPr>
          <w:rFonts w:ascii="Times New Roman" w:eastAsia="Times New Roman" w:hAnsi="Times New Roman" w:cs="Times New Roman"/>
          <w:sz w:val="24"/>
          <w:szCs w:val="24"/>
          <w:lang w:eastAsia="ru-RU"/>
        </w:rPr>
        <w:t xml:space="preserve">. </w:t>
      </w:r>
      <w:r w:rsidRPr="00906EA7">
        <w:rPr>
          <w:rFonts w:ascii="Times New Roman" w:eastAsia="Calibri Light" w:hAnsi="Times New Roman" w:cs="Times New Roman"/>
          <w:sz w:val="24"/>
          <w:szCs w:val="24"/>
        </w:rPr>
        <w:t xml:space="preserve">Формированию положительного баланса </w:t>
      </w:r>
      <w:r w:rsidR="0030560C" w:rsidRPr="00906EA7">
        <w:rPr>
          <w:rFonts w:ascii="Times New Roman" w:eastAsia="Calibri Light" w:hAnsi="Times New Roman" w:cs="Times New Roman"/>
          <w:sz w:val="24"/>
          <w:szCs w:val="24"/>
        </w:rPr>
        <w:t>способствовало</w:t>
      </w:r>
      <w:r w:rsidRPr="00906EA7">
        <w:rPr>
          <w:rFonts w:ascii="Times New Roman" w:eastAsia="Calibri Light" w:hAnsi="Times New Roman" w:cs="Times New Roman"/>
          <w:sz w:val="24"/>
          <w:szCs w:val="24"/>
        </w:rPr>
        <w:t xml:space="preserve"> увеличение фонда оплаты труда.</w:t>
      </w:r>
    </w:p>
    <w:p w:rsidR="005A2708" w:rsidRPr="00906EA7" w:rsidRDefault="005A2708" w:rsidP="0097253F">
      <w:pPr>
        <w:tabs>
          <w:tab w:val="left" w:pos="1134"/>
        </w:tabs>
        <w:spacing w:after="0" w:line="240" w:lineRule="auto"/>
        <w:ind w:firstLine="709"/>
        <w:jc w:val="both"/>
        <w:rPr>
          <w:rFonts w:ascii="Times New Roman" w:eastAsia="Calibri" w:hAnsi="Times New Roman" w:cs="Times New Roman"/>
          <w:sz w:val="24"/>
          <w:szCs w:val="24"/>
          <w:lang w:eastAsia="ru-RU"/>
        </w:rPr>
      </w:pPr>
    </w:p>
    <w:p w:rsidR="00651B1B"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5A2708" w:rsidRPr="00906EA7" w:rsidRDefault="005A2708"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ЗАНЯТОСТЬ НАСЕЛЕНИЯ И БЕЗРАБОТИЦА</w:t>
      </w:r>
    </w:p>
    <w:p w:rsidR="005A2708" w:rsidRPr="00906EA7" w:rsidRDefault="005A2708" w:rsidP="0097253F">
      <w:pPr>
        <w:spacing w:after="0" w:line="240" w:lineRule="auto"/>
        <w:ind w:firstLine="709"/>
        <w:jc w:val="both"/>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both"/>
        <w:rPr>
          <w:rFonts w:ascii="Times New Roman" w:hAnsi="Times New Roman" w:cs="Times New Roman"/>
          <w:sz w:val="24"/>
          <w:szCs w:val="24"/>
          <w:lang w:eastAsia="ru-RU"/>
        </w:rPr>
      </w:pPr>
      <w:r w:rsidRPr="00906EA7">
        <w:rPr>
          <w:rFonts w:ascii="Times New Roman" w:hAnsi="Times New Roman" w:cs="Times New Roman"/>
          <w:sz w:val="24"/>
          <w:szCs w:val="24"/>
          <w:lang w:eastAsia="ru-RU"/>
        </w:rPr>
        <w:t>В структуре постоянного населения в 201</w:t>
      </w:r>
      <w:r w:rsidR="00C12483" w:rsidRPr="00906EA7">
        <w:rPr>
          <w:rFonts w:ascii="Times New Roman" w:hAnsi="Times New Roman" w:cs="Times New Roman"/>
          <w:sz w:val="24"/>
          <w:szCs w:val="24"/>
          <w:lang w:eastAsia="ru-RU"/>
        </w:rPr>
        <w:t>9</w:t>
      </w:r>
      <w:r w:rsidRPr="00906EA7">
        <w:rPr>
          <w:rFonts w:ascii="Times New Roman" w:hAnsi="Times New Roman" w:cs="Times New Roman"/>
          <w:sz w:val="24"/>
          <w:szCs w:val="24"/>
          <w:lang w:eastAsia="ru-RU"/>
        </w:rPr>
        <w:t xml:space="preserve"> году 71,</w:t>
      </w:r>
      <w:r w:rsidR="00C12483" w:rsidRPr="00906EA7">
        <w:rPr>
          <w:rFonts w:ascii="Times New Roman" w:hAnsi="Times New Roman" w:cs="Times New Roman"/>
          <w:sz w:val="24"/>
          <w:szCs w:val="24"/>
          <w:lang w:eastAsia="ru-RU"/>
        </w:rPr>
        <w:t>2</w:t>
      </w:r>
      <w:r w:rsidRPr="00906EA7">
        <w:rPr>
          <w:rFonts w:ascii="Times New Roman" w:hAnsi="Times New Roman" w:cs="Times New Roman"/>
          <w:sz w:val="24"/>
          <w:szCs w:val="24"/>
          <w:lang w:eastAsia="ru-RU"/>
        </w:rPr>
        <w:t>%</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или 38</w:t>
      </w:r>
      <w:r w:rsidR="00C12483" w:rsidRPr="00906EA7">
        <w:rPr>
          <w:rFonts w:ascii="Times New Roman" w:hAnsi="Times New Roman" w:cs="Times New Roman"/>
          <w:sz w:val="24"/>
          <w:szCs w:val="24"/>
          <w:lang w:eastAsia="ru-RU"/>
        </w:rPr>
        <w:t>319</w:t>
      </w:r>
      <w:r w:rsidRPr="00906EA7">
        <w:rPr>
          <w:rFonts w:ascii="Times New Roman" w:hAnsi="Times New Roman" w:cs="Times New Roman"/>
          <w:sz w:val="24"/>
          <w:szCs w:val="24"/>
          <w:lang w:eastAsia="ru-RU"/>
        </w:rPr>
        <w:t xml:space="preserve"> человек</w:t>
      </w:r>
      <w:r w:rsidR="006D296E"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находятся в экономически активном возрасте. </w:t>
      </w:r>
    </w:p>
    <w:p w:rsidR="00832937" w:rsidRPr="00906EA7" w:rsidRDefault="00832937" w:rsidP="0097253F">
      <w:pPr>
        <w:spacing w:after="0" w:line="240" w:lineRule="auto"/>
        <w:ind w:firstLine="709"/>
        <w:jc w:val="both"/>
        <w:rPr>
          <w:rFonts w:ascii="Times New Roman" w:hAnsi="Times New Roman" w:cs="Times New Roman"/>
          <w:sz w:val="24"/>
          <w:szCs w:val="24"/>
          <w:lang w:eastAsia="ru-RU"/>
        </w:rPr>
      </w:pPr>
      <w:r w:rsidRPr="00906EA7">
        <w:rPr>
          <w:rFonts w:ascii="Times New Roman" w:hAnsi="Times New Roman" w:cs="Times New Roman"/>
          <w:sz w:val="24"/>
          <w:szCs w:val="24"/>
          <w:lang w:eastAsia="ru-RU"/>
        </w:rPr>
        <w:t xml:space="preserve">Из их числа </w:t>
      </w:r>
      <w:r w:rsidR="00C12483" w:rsidRPr="00906EA7">
        <w:rPr>
          <w:rFonts w:ascii="Times New Roman" w:hAnsi="Times New Roman" w:cs="Times New Roman"/>
          <w:sz w:val="24"/>
          <w:szCs w:val="24"/>
          <w:lang w:eastAsia="ru-RU"/>
        </w:rPr>
        <w:t>84,9</w:t>
      </w:r>
      <w:r w:rsidRPr="00906EA7">
        <w:rPr>
          <w:rFonts w:ascii="Times New Roman" w:hAnsi="Times New Roman" w:cs="Times New Roman"/>
          <w:sz w:val="24"/>
          <w:szCs w:val="24"/>
          <w:lang w:eastAsia="ru-RU"/>
        </w:rPr>
        <w:t>%</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или </w:t>
      </w:r>
      <w:r w:rsidR="00C12483" w:rsidRPr="00906EA7">
        <w:rPr>
          <w:rFonts w:ascii="Times New Roman" w:hAnsi="Times New Roman" w:cs="Times New Roman"/>
          <w:sz w:val="24"/>
          <w:szCs w:val="24"/>
          <w:lang w:eastAsia="ru-RU"/>
        </w:rPr>
        <w:t>32543</w:t>
      </w:r>
      <w:r w:rsidRPr="00906EA7">
        <w:rPr>
          <w:rFonts w:ascii="Times New Roman" w:hAnsi="Times New Roman" w:cs="Times New Roman"/>
          <w:sz w:val="24"/>
          <w:szCs w:val="24"/>
          <w:lang w:eastAsia="ru-RU"/>
        </w:rPr>
        <w:t xml:space="preserve"> человек</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заняты в экономике.</w:t>
      </w:r>
    </w:p>
    <w:p w:rsidR="00832937" w:rsidRPr="00906EA7" w:rsidRDefault="00832937" w:rsidP="0097253F">
      <w:pPr>
        <w:tabs>
          <w:tab w:val="left" w:pos="876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lang w:eastAsia="ru-RU"/>
        </w:rPr>
        <w:t>Немногим более половины числа занятых в экономике</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или же 5</w:t>
      </w:r>
      <w:r w:rsidR="00C12483" w:rsidRPr="00906EA7">
        <w:rPr>
          <w:rFonts w:ascii="Times New Roman" w:hAnsi="Times New Roman" w:cs="Times New Roman"/>
          <w:sz w:val="24"/>
          <w:szCs w:val="24"/>
          <w:lang w:eastAsia="ru-RU"/>
        </w:rPr>
        <w:t>6</w:t>
      </w:r>
      <w:r w:rsidRPr="00906EA7">
        <w:rPr>
          <w:rFonts w:ascii="Times New Roman" w:hAnsi="Times New Roman" w:cs="Times New Roman"/>
          <w:sz w:val="24"/>
          <w:szCs w:val="24"/>
          <w:lang w:eastAsia="ru-RU"/>
        </w:rPr>
        <w:t>,</w:t>
      </w:r>
      <w:r w:rsidR="00C12483" w:rsidRPr="00906EA7">
        <w:rPr>
          <w:rFonts w:ascii="Times New Roman" w:hAnsi="Times New Roman" w:cs="Times New Roman"/>
          <w:sz w:val="24"/>
          <w:szCs w:val="24"/>
          <w:lang w:eastAsia="ru-RU"/>
        </w:rPr>
        <w:t>4</w:t>
      </w:r>
      <w:r w:rsidRPr="00906EA7">
        <w:rPr>
          <w:rFonts w:ascii="Times New Roman" w:hAnsi="Times New Roman" w:cs="Times New Roman"/>
          <w:sz w:val="24"/>
          <w:szCs w:val="24"/>
          <w:lang w:eastAsia="ru-RU"/>
        </w:rPr>
        <w:t>%</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трудятся в крупных и средних предприятиях городского округа, </w:t>
      </w:r>
      <w:r w:rsidR="00C12483" w:rsidRPr="00906EA7">
        <w:rPr>
          <w:rFonts w:ascii="Times New Roman" w:hAnsi="Times New Roman" w:cs="Times New Roman"/>
          <w:sz w:val="24"/>
          <w:szCs w:val="24"/>
          <w:lang w:eastAsia="ru-RU"/>
        </w:rPr>
        <w:t>25,0</w:t>
      </w:r>
      <w:r w:rsidRPr="00906EA7">
        <w:rPr>
          <w:rFonts w:ascii="Times New Roman" w:hAnsi="Times New Roman" w:cs="Times New Roman"/>
          <w:sz w:val="24"/>
          <w:szCs w:val="24"/>
          <w:lang w:eastAsia="ru-RU"/>
        </w:rPr>
        <w:t xml:space="preserve">% заняты в сфере малого бизнеса, остальные </w:t>
      </w:r>
      <w:r w:rsidR="00C12483" w:rsidRPr="00906EA7">
        <w:rPr>
          <w:rFonts w:ascii="Times New Roman" w:hAnsi="Times New Roman" w:cs="Times New Roman"/>
          <w:sz w:val="24"/>
          <w:szCs w:val="24"/>
          <w:lang w:eastAsia="ru-RU"/>
        </w:rPr>
        <w:t>18,6</w:t>
      </w:r>
      <w:r w:rsidRPr="00906EA7">
        <w:rPr>
          <w:rFonts w:ascii="Times New Roman" w:hAnsi="Times New Roman" w:cs="Times New Roman"/>
          <w:sz w:val="24"/>
          <w:szCs w:val="24"/>
          <w:lang w:eastAsia="ru-RU"/>
        </w:rPr>
        <w:t xml:space="preserve">% </w:t>
      </w:r>
      <w:r w:rsidR="0074545C" w:rsidRPr="00906EA7">
        <w:rPr>
          <w:rFonts w:ascii="Times New Roman" w:hAnsi="Times New Roman" w:cs="Times New Roman"/>
          <w:sz w:val="24"/>
          <w:szCs w:val="24"/>
          <w:lang w:eastAsia="ru-RU"/>
        </w:rPr>
        <w:t xml:space="preserve">учитываются </w:t>
      </w:r>
      <w:r w:rsidRPr="00906EA7">
        <w:rPr>
          <w:rFonts w:ascii="Times New Roman" w:hAnsi="Times New Roman" w:cs="Times New Roman"/>
          <w:sz w:val="24"/>
          <w:szCs w:val="24"/>
          <w:lang w:eastAsia="ru-RU"/>
        </w:rPr>
        <w:t>по строке «неучтенный сектор</w:t>
      </w:r>
      <w:r w:rsidR="0074545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включающий в себя численность работающих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работающих вахтовым методом, без заключения трудового договора, безработных граждан.</w:t>
      </w:r>
    </w:p>
    <w:p w:rsidR="00651B1B" w:rsidRDefault="00651B1B" w:rsidP="0097253F">
      <w:pPr>
        <w:spacing w:after="0" w:line="240" w:lineRule="auto"/>
        <w:ind w:firstLine="709"/>
        <w:jc w:val="center"/>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p>
    <w:tbl>
      <w:tblPr>
        <w:tblpPr w:leftFromText="180" w:rightFromText="180" w:vertAnchor="text" w:horzAnchor="margin" w:tblpYSpec="cent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2"/>
        <w:gridCol w:w="1275"/>
        <w:gridCol w:w="1275"/>
        <w:gridCol w:w="1275"/>
        <w:gridCol w:w="1277"/>
      </w:tblGrid>
      <w:tr w:rsidR="00651B1B" w:rsidRPr="00906EA7" w:rsidTr="00E343C8">
        <w:trPr>
          <w:trHeight w:val="65"/>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275" w:type="dxa"/>
            <w:tcBorders>
              <w:top w:val="single" w:sz="4" w:space="0" w:color="auto"/>
              <w:left w:val="single" w:sz="4" w:space="0" w:color="auto"/>
              <w:right w:val="single" w:sz="4" w:space="0" w:color="auto"/>
            </w:tcBorders>
            <w:vAlign w:val="center"/>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277" w:type="dxa"/>
            <w:tcBorders>
              <w:top w:val="single" w:sz="4" w:space="0" w:color="auto"/>
              <w:left w:val="single" w:sz="4" w:space="0" w:color="auto"/>
              <w:right w:val="single" w:sz="4" w:space="0" w:color="auto"/>
            </w:tcBorders>
            <w:vAlign w:val="center"/>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w:t>
            </w:r>
          </w:p>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8523D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651B1B" w:rsidRPr="00906EA7" w:rsidTr="00E343C8">
        <w:trPr>
          <w:trHeight w:val="88"/>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экономически активного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38935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6D296E"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38637</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38319</w:t>
            </w:r>
          </w:p>
        </w:tc>
        <w:tc>
          <w:tcPr>
            <w:tcW w:w="1277" w:type="dxa"/>
            <w:tcBorders>
              <w:left w:val="single" w:sz="4" w:space="0" w:color="auto"/>
              <w:right w:val="single" w:sz="4" w:space="0" w:color="auto"/>
            </w:tcBorders>
            <w:vAlign w:val="center"/>
          </w:tcPr>
          <w:p w:rsidR="00E343C8" w:rsidRPr="00906EA7" w:rsidRDefault="006D296E"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99,18</w:t>
            </w:r>
          </w:p>
        </w:tc>
      </w:tr>
      <w:tr w:rsidR="00651B1B" w:rsidRPr="00906EA7" w:rsidTr="00E343C8">
        <w:trPr>
          <w:trHeight w:val="107"/>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Численность занятого в экономике населения </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33211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32910</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32543</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98,88</w:t>
            </w:r>
          </w:p>
        </w:tc>
      </w:tr>
      <w:tr w:rsidR="00651B1B" w:rsidRPr="00906EA7" w:rsidTr="00372C3F">
        <w:trPr>
          <w:trHeight w:val="8"/>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firstLine="120"/>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из них:</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w:t>
            </w:r>
          </w:p>
        </w:tc>
      </w:tr>
      <w:tr w:rsidR="00651B1B" w:rsidRPr="00906EA7" w:rsidTr="00E343C8">
        <w:trPr>
          <w:trHeight w:val="147"/>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-занятых в крупных и средних предприятиях по данным отдела Госстатистики на конец года</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18261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19048</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18347</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96,32</w:t>
            </w:r>
          </w:p>
        </w:tc>
      </w:tr>
      <w:tr w:rsidR="00651B1B" w:rsidRPr="00906EA7" w:rsidTr="00E343C8">
        <w:trPr>
          <w:trHeight w:val="63"/>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занятых в малых и микропредприятиях</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4948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4790</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4808</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100,38</w:t>
            </w:r>
          </w:p>
        </w:tc>
      </w:tr>
      <w:tr w:rsidR="00651B1B" w:rsidRPr="00906EA7" w:rsidTr="00372C3F">
        <w:trPr>
          <w:trHeight w:val="106"/>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1301</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1333</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1335</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100,15</w:t>
            </w:r>
          </w:p>
        </w:tc>
      </w:tr>
      <w:tr w:rsidR="00651B1B" w:rsidRPr="00906EA7" w:rsidTr="00E343C8">
        <w:trPr>
          <w:trHeight w:val="113"/>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-наемных работников индивидуальных предпринимателей </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929</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516</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55,54</w:t>
            </w:r>
          </w:p>
        </w:tc>
      </w:tr>
      <w:tr w:rsidR="00651B1B" w:rsidRPr="00906EA7" w:rsidTr="00372C3F">
        <w:trPr>
          <w:trHeight w:val="328"/>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-неучтенный сектор</w:t>
            </w:r>
          </w:p>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0"/>
                <w:szCs w:val="20"/>
                <w:lang w:eastAsia="ru-RU"/>
              </w:rPr>
              <w:t>(численность работающих (жителей города Мегион и пгт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вахтовым методом; без заключения договора, безработных граждан и т.д.)</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7772</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6810</w:t>
            </w:r>
          </w:p>
        </w:tc>
        <w:tc>
          <w:tcPr>
            <w:tcW w:w="1275" w:type="dxa"/>
            <w:tcBorders>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7593</w:t>
            </w:r>
          </w:p>
        </w:tc>
        <w:tc>
          <w:tcPr>
            <w:tcW w:w="1277" w:type="dxa"/>
            <w:tcBorders>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111,50</w:t>
            </w:r>
          </w:p>
        </w:tc>
      </w:tr>
    </w:tbl>
    <w:p w:rsidR="0079258C" w:rsidRDefault="00651B1B" w:rsidP="00651B1B">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Динамика показателей занятости населения за 2017-2019 годы(на 31 декабря)</w:t>
      </w:r>
      <w:r>
        <w:rPr>
          <w:rFonts w:ascii="Times New Roman" w:eastAsia="Times New Roman" w:hAnsi="Times New Roman" w:cs="Times New Roman"/>
          <w:sz w:val="24"/>
          <w:szCs w:val="24"/>
          <w:lang w:eastAsia="ru-RU"/>
        </w:rPr>
        <w:t>, человек</w:t>
      </w:r>
    </w:p>
    <w:p w:rsidR="00651B1B" w:rsidRDefault="00651B1B" w:rsidP="00651B1B">
      <w:pPr>
        <w:spacing w:after="0" w:line="240" w:lineRule="auto"/>
        <w:jc w:val="center"/>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Поотраслевая численность работников среднесписочного состава</w:t>
      </w: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крупных и средних предприятий за 2017-2018 годы</w:t>
      </w: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p>
    <w:tbl>
      <w:tblPr>
        <w:tblW w:w="9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1788"/>
        <w:gridCol w:w="1789"/>
        <w:gridCol w:w="1161"/>
      </w:tblGrid>
      <w:tr w:rsidR="00832937" w:rsidRPr="00906EA7" w:rsidTr="00372C3F">
        <w:trPr>
          <w:trHeight w:val="461"/>
          <w:tblHeader/>
        </w:trPr>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Отрасли</w:t>
            </w:r>
          </w:p>
        </w:tc>
        <w:tc>
          <w:tcPr>
            <w:tcW w:w="3577" w:type="dxa"/>
            <w:gridSpan w:val="2"/>
            <w:tcBorders>
              <w:top w:val="single" w:sz="4" w:space="0" w:color="auto"/>
              <w:left w:val="single" w:sz="4" w:space="0" w:color="auto"/>
              <w:bottom w:val="single" w:sz="4" w:space="0" w:color="auto"/>
              <w:right w:val="single" w:sz="4" w:space="0" w:color="auto"/>
            </w:tcBorders>
            <w:vAlign w:val="center"/>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Численность работающих среднесписочного состава, человек</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xml:space="preserve">%, </w:t>
            </w:r>
          </w:p>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w:t>
            </w:r>
            <w:r w:rsidR="00C12483" w:rsidRPr="00906EA7">
              <w:rPr>
                <w:rFonts w:ascii="Times New Roman" w:eastAsia="Times New Roman" w:hAnsi="Times New Roman" w:cs="Times New Roman"/>
                <w:sz w:val="20"/>
                <w:szCs w:val="20"/>
                <w:lang w:eastAsia="ru-RU"/>
              </w:rPr>
              <w:t>9</w:t>
            </w:r>
            <w:r w:rsidR="008523D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w:t>
            </w:r>
            <w:r w:rsidR="00C12483" w:rsidRPr="00906EA7">
              <w:rPr>
                <w:rFonts w:ascii="Times New Roman" w:eastAsia="Times New Roman" w:hAnsi="Times New Roman" w:cs="Times New Roman"/>
                <w:sz w:val="20"/>
                <w:szCs w:val="20"/>
                <w:lang w:eastAsia="ru-RU"/>
              </w:rPr>
              <w:t>8</w:t>
            </w:r>
          </w:p>
        </w:tc>
      </w:tr>
      <w:tr w:rsidR="00832937" w:rsidRPr="00906EA7" w:rsidTr="00372C3F">
        <w:trPr>
          <w:trHeight w:val="329"/>
          <w:tblHeader/>
        </w:trPr>
        <w:tc>
          <w:tcPr>
            <w:tcW w:w="4878" w:type="dxa"/>
            <w:vMerge/>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rPr>
                <w:rFonts w:ascii="Times New Roman" w:eastAsia="Times New Roman" w:hAnsi="Times New Roman" w:cs="Times New Roman"/>
                <w:sz w:val="20"/>
                <w:szCs w:val="20"/>
                <w:lang w:eastAsia="ru-RU"/>
              </w:rPr>
            </w:pPr>
          </w:p>
        </w:tc>
        <w:tc>
          <w:tcPr>
            <w:tcW w:w="1788" w:type="dxa"/>
            <w:tcBorders>
              <w:top w:val="single" w:sz="4" w:space="0" w:color="auto"/>
              <w:left w:val="single" w:sz="4" w:space="0" w:color="auto"/>
              <w:bottom w:val="single" w:sz="4" w:space="0" w:color="auto"/>
              <w:right w:val="single" w:sz="4" w:space="0" w:color="auto"/>
            </w:tcBorders>
            <w:vAlign w:val="center"/>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w:t>
            </w:r>
            <w:r w:rsidR="00C12483" w:rsidRPr="00906EA7">
              <w:rPr>
                <w:rFonts w:ascii="Times New Roman" w:eastAsia="Times New Roman" w:hAnsi="Times New Roman" w:cs="Times New Roman"/>
                <w:sz w:val="20"/>
                <w:szCs w:val="20"/>
                <w:lang w:eastAsia="ru-RU"/>
              </w:rPr>
              <w:t>8</w:t>
            </w:r>
            <w:r w:rsidRPr="00906EA7">
              <w:rPr>
                <w:rFonts w:ascii="Times New Roman" w:eastAsia="Times New Roman" w:hAnsi="Times New Roman" w:cs="Times New Roman"/>
                <w:sz w:val="20"/>
                <w:szCs w:val="20"/>
                <w:lang w:eastAsia="ru-RU"/>
              </w:rPr>
              <w:t xml:space="preserve"> год</w:t>
            </w:r>
          </w:p>
        </w:tc>
        <w:tc>
          <w:tcPr>
            <w:tcW w:w="1789" w:type="dxa"/>
            <w:tcBorders>
              <w:top w:val="single" w:sz="4" w:space="0" w:color="auto"/>
              <w:left w:val="single" w:sz="4" w:space="0" w:color="auto"/>
              <w:bottom w:val="single" w:sz="4" w:space="0" w:color="auto"/>
              <w:right w:val="single" w:sz="4" w:space="0" w:color="auto"/>
            </w:tcBorders>
            <w:vAlign w:val="center"/>
          </w:tcPr>
          <w:p w:rsidR="00832937" w:rsidRPr="00906EA7" w:rsidRDefault="00C12483"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832937" w:rsidRPr="00906EA7">
              <w:rPr>
                <w:rFonts w:ascii="Times New Roman" w:eastAsia="Times New Roman" w:hAnsi="Times New Roman" w:cs="Times New Roman"/>
                <w:sz w:val="20"/>
                <w:szCs w:val="20"/>
                <w:lang w:eastAsia="ru-RU"/>
              </w:rPr>
              <w:t xml:space="preserve"> год</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rPr>
                <w:rFonts w:ascii="Times New Roman" w:eastAsia="Times New Roman" w:hAnsi="Times New Roman" w:cs="Times New Roman"/>
                <w:sz w:val="16"/>
                <w:szCs w:val="16"/>
                <w:lang w:eastAsia="ru-RU"/>
              </w:rPr>
            </w:pPr>
          </w:p>
        </w:tc>
      </w:tr>
      <w:tr w:rsidR="00C12483" w:rsidRPr="00906EA7" w:rsidTr="00372C3F">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12483" w:rsidRPr="00906EA7" w:rsidRDefault="00C12483"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Всего</w:t>
            </w:r>
          </w:p>
        </w:tc>
        <w:tc>
          <w:tcPr>
            <w:tcW w:w="1788" w:type="dxa"/>
            <w:tcBorders>
              <w:top w:val="single" w:sz="4" w:space="0" w:color="auto"/>
              <w:left w:val="single" w:sz="4" w:space="0" w:color="auto"/>
              <w:bottom w:val="single" w:sz="4" w:space="0" w:color="auto"/>
              <w:right w:val="single" w:sz="4" w:space="0" w:color="auto"/>
            </w:tcBorders>
            <w:vAlign w:val="center"/>
          </w:tcPr>
          <w:p w:rsidR="00C12483" w:rsidRPr="00906EA7" w:rsidRDefault="00C12483"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19048</w:t>
            </w:r>
          </w:p>
        </w:tc>
        <w:tc>
          <w:tcPr>
            <w:tcW w:w="1789" w:type="dxa"/>
            <w:tcBorders>
              <w:top w:val="single" w:sz="4" w:space="0" w:color="auto"/>
              <w:left w:val="single" w:sz="4" w:space="0" w:color="auto"/>
              <w:bottom w:val="single" w:sz="4" w:space="0" w:color="auto"/>
              <w:right w:val="single" w:sz="4" w:space="0" w:color="auto"/>
            </w:tcBorders>
            <w:vAlign w:val="center"/>
          </w:tcPr>
          <w:p w:rsidR="00C12483" w:rsidRPr="00906EA7" w:rsidRDefault="00C12483"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18347</w:t>
            </w:r>
          </w:p>
        </w:tc>
        <w:tc>
          <w:tcPr>
            <w:tcW w:w="1161" w:type="dxa"/>
            <w:tcBorders>
              <w:top w:val="single" w:sz="4" w:space="0" w:color="auto"/>
              <w:left w:val="single" w:sz="4" w:space="0" w:color="auto"/>
              <w:bottom w:val="single" w:sz="4" w:space="0" w:color="auto"/>
              <w:right w:val="single" w:sz="4" w:space="0" w:color="auto"/>
            </w:tcBorders>
            <w:vAlign w:val="center"/>
          </w:tcPr>
          <w:p w:rsidR="00C12483"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96,32</w:t>
            </w:r>
          </w:p>
        </w:tc>
      </w:tr>
      <w:tr w:rsidR="00CB2D14" w:rsidRPr="00906EA7" w:rsidTr="0097253F">
        <w:trPr>
          <w:trHeight w:val="258"/>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Добыча полезных ископаемых</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4405</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4374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99,30</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Обрабатывающие производства</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668</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670</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100,30</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Обеспечение электрической энергией, газом и паром; кондиционирование воздуха</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1644</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1634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99,39</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Строительство</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1254</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1265</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100,88</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Торговля, ремонт автотранспортных средств и мотоциклов</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402</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394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98,01</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Транспортировка и хранение</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2039</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1910</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93,67</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Деятельность финансовая и страховая</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125</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134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107,20</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Деятельность профессиональная, научная и техническая</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1281</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1072</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83,68</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Деятельность административная и сопутствующие дополнительные услуги</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615</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534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86,83</w:t>
            </w:r>
          </w:p>
        </w:tc>
      </w:tr>
      <w:tr w:rsidR="00CB2D14" w:rsidRPr="00906EA7" w:rsidTr="00664C1E">
        <w:trPr>
          <w:trHeight w:val="64"/>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1139</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981</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86,13</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Образование </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2421</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2414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99,71</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Деятельность в области здравоохранения  и социальных услуг </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1708</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1690</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98,95</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Деятельность в области культуры, спорта, организации досуга и развлечений </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409</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418</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102,20</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Предоставление прочих видов услуг</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37</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40</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108,11</w:t>
            </w:r>
          </w:p>
        </w:tc>
      </w:tr>
    </w:tbl>
    <w:p w:rsidR="00832937" w:rsidRPr="00906EA7" w:rsidRDefault="00832937" w:rsidP="0097253F">
      <w:pPr>
        <w:spacing w:after="0" w:line="240" w:lineRule="auto"/>
        <w:ind w:firstLine="709"/>
        <w:jc w:val="both"/>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w:t>
      </w:r>
      <w:r w:rsidR="00CB2D14"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общая численность работников крупных и средних предприятий </w:t>
      </w:r>
      <w:r w:rsidR="00CB2D14" w:rsidRPr="00906EA7">
        <w:rPr>
          <w:rFonts w:ascii="Times New Roman" w:eastAsia="Times New Roman" w:hAnsi="Times New Roman" w:cs="Times New Roman"/>
          <w:sz w:val="24"/>
          <w:szCs w:val="24"/>
          <w:lang w:eastAsia="ru-RU"/>
        </w:rPr>
        <w:t>снизилась</w:t>
      </w:r>
      <w:r w:rsidRPr="00906EA7">
        <w:rPr>
          <w:rFonts w:ascii="Times New Roman" w:eastAsia="Times New Roman" w:hAnsi="Times New Roman" w:cs="Times New Roman"/>
          <w:sz w:val="24"/>
          <w:szCs w:val="24"/>
          <w:lang w:eastAsia="ru-RU"/>
        </w:rPr>
        <w:t xml:space="preserve"> на </w:t>
      </w:r>
      <w:r w:rsidR="00CB2D14" w:rsidRPr="00906EA7">
        <w:rPr>
          <w:rFonts w:ascii="Times New Roman" w:eastAsia="Times New Roman" w:hAnsi="Times New Roman" w:cs="Times New Roman"/>
          <w:sz w:val="24"/>
          <w:szCs w:val="24"/>
          <w:lang w:eastAsia="ru-RU"/>
        </w:rPr>
        <w:t>3,7</w:t>
      </w:r>
      <w:r w:rsidRPr="00906EA7">
        <w:rPr>
          <w:rFonts w:ascii="Times New Roman" w:eastAsia="Times New Roman" w:hAnsi="Times New Roman" w:cs="Times New Roman"/>
          <w:sz w:val="24"/>
          <w:szCs w:val="24"/>
          <w:lang w:eastAsia="ru-RU"/>
        </w:rPr>
        <w:t>%</w:t>
      </w:r>
      <w:r w:rsidR="00CB2D14" w:rsidRPr="00906EA7">
        <w:rPr>
          <w:rFonts w:ascii="Times New Roman" w:eastAsia="Times New Roman" w:hAnsi="Times New Roman" w:cs="Times New Roman"/>
          <w:sz w:val="24"/>
          <w:szCs w:val="24"/>
          <w:lang w:eastAsia="ru-RU"/>
        </w:rPr>
        <w:t>.</w:t>
      </w:r>
    </w:p>
    <w:p w:rsidR="00832937" w:rsidRPr="00906EA7" w:rsidRDefault="00832937"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Во многих предприятиях сокращение численности работников </w:t>
      </w:r>
      <w:r w:rsidR="001A16A1">
        <w:rPr>
          <w:rFonts w:ascii="Times New Roman" w:eastAsia="Times New Roman" w:hAnsi="Times New Roman" w:cs="Times New Roman"/>
          <w:sz w:val="24"/>
          <w:szCs w:val="24"/>
          <w:lang w:eastAsia="ru-RU"/>
        </w:rPr>
        <w:t xml:space="preserve">произошло вследствие </w:t>
      </w:r>
      <w:r w:rsidRPr="00906EA7">
        <w:rPr>
          <w:rFonts w:ascii="Times New Roman" w:eastAsia="Times New Roman" w:hAnsi="Times New Roman" w:cs="Times New Roman"/>
          <w:sz w:val="24"/>
          <w:szCs w:val="24"/>
          <w:lang w:eastAsia="ru-RU"/>
        </w:rPr>
        <w:t xml:space="preserve"> оптимизации расходов предприятий и организаций</w:t>
      </w:r>
      <w:r w:rsidR="001A16A1">
        <w:rPr>
          <w:rFonts w:ascii="Times New Roman" w:eastAsia="Times New Roman" w:hAnsi="Times New Roman" w:cs="Times New Roman"/>
          <w:sz w:val="24"/>
          <w:szCs w:val="24"/>
          <w:lang w:eastAsia="ru-RU"/>
        </w:rPr>
        <w:t>, увеличением числа внешних совместителей.</w:t>
      </w:r>
    </w:p>
    <w:p w:rsidR="00832937" w:rsidRPr="00906EA7" w:rsidRDefault="00832937" w:rsidP="0097253F">
      <w:pPr>
        <w:spacing w:after="0" w:line="240" w:lineRule="auto"/>
        <w:ind w:firstLine="708"/>
        <w:jc w:val="both"/>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Поотраслевая численность работников муниципальных учреждений</w:t>
      </w: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w:t>
      </w:r>
      <w:r w:rsidR="007F2755"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7F2755"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 (по отчетным данным учреждений)</w:t>
      </w: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p>
    <w:tbl>
      <w:tblPr>
        <w:tblW w:w="96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529"/>
        <w:gridCol w:w="1530"/>
        <w:gridCol w:w="1533"/>
        <w:gridCol w:w="1646"/>
      </w:tblGrid>
      <w:tr w:rsidR="008D6561" w:rsidRPr="00906EA7" w:rsidTr="007F2755">
        <w:trPr>
          <w:trHeight w:val="391"/>
          <w:tblHeader/>
        </w:trPr>
        <w:tc>
          <w:tcPr>
            <w:tcW w:w="3451"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Отрасли</w:t>
            </w:r>
          </w:p>
        </w:tc>
        <w:tc>
          <w:tcPr>
            <w:tcW w:w="4592" w:type="dxa"/>
            <w:gridSpan w:val="3"/>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Численность работающих среднесписочного состава на конец года, человек</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w:t>
            </w:r>
          </w:p>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w:t>
            </w:r>
            <w:r w:rsidR="008D6561" w:rsidRPr="00906EA7">
              <w:rPr>
                <w:rFonts w:ascii="Times New Roman" w:eastAsia="Times New Roman" w:hAnsi="Times New Roman" w:cs="Times New Roman"/>
                <w:sz w:val="20"/>
                <w:szCs w:val="20"/>
                <w:lang w:eastAsia="ru-RU"/>
              </w:rPr>
              <w:t>9</w:t>
            </w:r>
            <w:r w:rsidR="008523D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w:t>
            </w:r>
            <w:r w:rsidR="008D6561" w:rsidRPr="00906EA7">
              <w:rPr>
                <w:rFonts w:ascii="Times New Roman" w:eastAsia="Times New Roman" w:hAnsi="Times New Roman" w:cs="Times New Roman"/>
                <w:sz w:val="20"/>
                <w:szCs w:val="20"/>
                <w:lang w:eastAsia="ru-RU"/>
              </w:rPr>
              <w:t>8</w:t>
            </w:r>
          </w:p>
        </w:tc>
      </w:tr>
      <w:tr w:rsidR="008D6561" w:rsidRPr="00906EA7" w:rsidTr="00372C3F">
        <w:trPr>
          <w:trHeight w:val="26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755" w:rsidRPr="00906EA7" w:rsidRDefault="007F2755" w:rsidP="0097253F">
            <w:pPr>
              <w:spacing w:after="0" w:line="240" w:lineRule="auto"/>
              <w:rPr>
                <w:rFonts w:ascii="Times New Roman" w:eastAsia="Times New Roman" w:hAnsi="Times New Roman" w:cs="Times New Roman"/>
                <w:sz w:val="20"/>
                <w:szCs w:val="2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7F2755" w:rsidRPr="00906EA7" w:rsidRDefault="007F275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530" w:type="dxa"/>
            <w:tcBorders>
              <w:top w:val="single" w:sz="4" w:space="0" w:color="auto"/>
              <w:left w:val="single" w:sz="4" w:space="0" w:color="auto"/>
              <w:bottom w:val="single" w:sz="4" w:space="0" w:color="auto"/>
              <w:right w:val="single" w:sz="4" w:space="0" w:color="auto"/>
            </w:tcBorders>
            <w:vAlign w:val="center"/>
          </w:tcPr>
          <w:p w:rsidR="007F2755" w:rsidRPr="00906EA7" w:rsidRDefault="007F275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533" w:type="dxa"/>
            <w:tcBorders>
              <w:top w:val="single" w:sz="4" w:space="0" w:color="auto"/>
              <w:left w:val="single" w:sz="4" w:space="0" w:color="auto"/>
              <w:bottom w:val="single" w:sz="4" w:space="0" w:color="auto"/>
              <w:right w:val="single" w:sz="4" w:space="0" w:color="auto"/>
            </w:tcBorders>
            <w:vAlign w:val="center"/>
          </w:tcPr>
          <w:p w:rsidR="007F2755" w:rsidRPr="00906EA7" w:rsidRDefault="007F275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755" w:rsidRPr="00906EA7" w:rsidRDefault="007F2755" w:rsidP="0097253F">
            <w:pPr>
              <w:spacing w:after="0" w:line="240" w:lineRule="auto"/>
              <w:rPr>
                <w:rFonts w:ascii="Times New Roman" w:eastAsia="Times New Roman" w:hAnsi="Times New Roman" w:cs="Times New Roman"/>
                <w:sz w:val="20"/>
                <w:szCs w:val="20"/>
                <w:lang w:eastAsia="ru-RU"/>
              </w:rPr>
            </w:pP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Образование</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2138</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2056</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2096</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101,95</w:t>
            </w: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Культура</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361</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361</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358</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99,17</w:t>
            </w: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Физическая культура и спорт</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180</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180</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173</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96,11</w:t>
            </w: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Молодежная политика</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88</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88</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75</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85,23</w:t>
            </w:r>
          </w:p>
        </w:tc>
      </w:tr>
      <w:tr w:rsidR="008D6561" w:rsidRPr="00906EA7" w:rsidTr="00372C3F">
        <w:trPr>
          <w:trHeight w:val="526"/>
        </w:trPr>
        <w:tc>
          <w:tcPr>
            <w:tcW w:w="3451"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Прочие муниципальные учреждения</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486</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470</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315</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67,02</w:t>
            </w: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ВСЕГО</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3253</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3155</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3017</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95,63</w:t>
            </w:r>
          </w:p>
        </w:tc>
      </w:tr>
    </w:tbl>
    <w:p w:rsidR="00832937" w:rsidRPr="00906EA7" w:rsidRDefault="00832937" w:rsidP="0097253F">
      <w:pPr>
        <w:spacing w:after="0" w:line="240" w:lineRule="auto"/>
        <w:ind w:firstLine="709"/>
        <w:jc w:val="center"/>
        <w:rPr>
          <w:rFonts w:ascii="Times New Roman" w:eastAsia="Times New Roman" w:hAnsi="Times New Roman" w:cs="Times New Roman"/>
          <w:sz w:val="16"/>
          <w:szCs w:val="16"/>
          <w:lang w:eastAsia="ru-RU"/>
        </w:rPr>
      </w:pPr>
    </w:p>
    <w:p w:rsidR="00832937" w:rsidRPr="00906EA7" w:rsidRDefault="00832937"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Среднесписочная численность работников бюджетной сферы выросла лишь в отрасли «</w:t>
      </w:r>
      <w:r w:rsidR="0072357A" w:rsidRPr="00906EA7">
        <w:rPr>
          <w:rFonts w:ascii="Times New Roman" w:eastAsia="Times New Roman" w:hAnsi="Times New Roman" w:cs="Times New Roman"/>
          <w:sz w:val="24"/>
          <w:szCs w:val="24"/>
          <w:lang w:eastAsia="ru-RU"/>
        </w:rPr>
        <w:t>образование</w:t>
      </w:r>
      <w:r w:rsidRPr="00906EA7">
        <w:rPr>
          <w:rFonts w:ascii="Times New Roman" w:eastAsia="Times New Roman" w:hAnsi="Times New Roman" w:cs="Times New Roman"/>
          <w:sz w:val="24"/>
          <w:szCs w:val="24"/>
          <w:lang w:eastAsia="ru-RU"/>
        </w:rPr>
        <w:t xml:space="preserve">» на </w:t>
      </w:r>
      <w:r w:rsidR="0072357A" w:rsidRPr="00906EA7">
        <w:rPr>
          <w:rFonts w:ascii="Times New Roman" w:eastAsia="Times New Roman" w:hAnsi="Times New Roman" w:cs="Times New Roman"/>
          <w:sz w:val="24"/>
          <w:szCs w:val="24"/>
          <w:lang w:eastAsia="ru-RU"/>
        </w:rPr>
        <w:t>1,95</w:t>
      </w:r>
      <w:r w:rsidRPr="00906EA7">
        <w:rPr>
          <w:rFonts w:ascii="Times New Roman" w:eastAsia="Times New Roman" w:hAnsi="Times New Roman" w:cs="Times New Roman"/>
          <w:sz w:val="24"/>
          <w:szCs w:val="24"/>
          <w:lang w:eastAsia="ru-RU"/>
        </w:rPr>
        <w:t>%, в остальных отраслях численность снижается в пределах 0,</w:t>
      </w:r>
      <w:r w:rsidR="0072357A"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w:t>
      </w:r>
      <w:r w:rsidR="0072357A" w:rsidRPr="00906EA7">
        <w:rPr>
          <w:rFonts w:ascii="Times New Roman" w:eastAsia="Times New Roman" w:hAnsi="Times New Roman" w:cs="Times New Roman"/>
          <w:sz w:val="24"/>
          <w:szCs w:val="24"/>
          <w:lang w:eastAsia="ru-RU"/>
        </w:rPr>
        <w:t>32,9</w:t>
      </w:r>
      <w:r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lastRenderedPageBreak/>
        <w:t xml:space="preserve">что связано </w:t>
      </w:r>
      <w:r w:rsidR="00156A6C">
        <w:rPr>
          <w:rFonts w:ascii="Times New Roman" w:eastAsia="Times New Roman" w:hAnsi="Times New Roman" w:cs="Times New Roman"/>
          <w:sz w:val="24"/>
          <w:szCs w:val="24"/>
          <w:lang w:eastAsia="ru-RU"/>
        </w:rPr>
        <w:t xml:space="preserve">с оптимизацией деятельности учреждений, а также </w:t>
      </w:r>
      <w:r w:rsidR="006C6839">
        <w:rPr>
          <w:rFonts w:ascii="Times New Roman" w:eastAsia="Times New Roman" w:hAnsi="Times New Roman" w:cs="Times New Roman"/>
          <w:sz w:val="24"/>
          <w:szCs w:val="24"/>
          <w:lang w:eastAsia="ru-RU"/>
        </w:rPr>
        <w:t>реорганизацией муниципального автономного учреждения «Комбинат общественного питания учреждений социальной сферы»</w:t>
      </w:r>
      <w:r w:rsidRPr="00906EA7">
        <w:rPr>
          <w:rFonts w:ascii="Times New Roman" w:eastAsia="Times New Roman" w:hAnsi="Times New Roman" w:cs="Times New Roman"/>
          <w:sz w:val="24"/>
          <w:szCs w:val="24"/>
          <w:lang w:eastAsia="ru-RU"/>
        </w:rPr>
        <w:t>.</w:t>
      </w:r>
    </w:p>
    <w:p w:rsidR="00832937" w:rsidRDefault="00832937" w:rsidP="0097253F">
      <w:pPr>
        <w:spacing w:after="0" w:line="240" w:lineRule="auto"/>
        <w:ind w:firstLine="708"/>
        <w:jc w:val="both"/>
        <w:rPr>
          <w:rFonts w:ascii="Times New Roman" w:eastAsia="Times New Roman" w:hAnsi="Times New Roman" w:cs="Times New Roman"/>
          <w:sz w:val="24"/>
          <w:szCs w:val="24"/>
          <w:lang w:eastAsia="ru-RU"/>
        </w:rPr>
      </w:pPr>
    </w:p>
    <w:p w:rsidR="00651B1B"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651B1B"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651B1B"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651B1B" w:rsidRPr="00906EA7"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832937" w:rsidRPr="00906EA7" w:rsidRDefault="00832937" w:rsidP="0097253F">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Безработица</w:t>
      </w:r>
    </w:p>
    <w:p w:rsidR="00832937" w:rsidRPr="00906EA7" w:rsidRDefault="00832937" w:rsidP="0097253F">
      <w:pPr>
        <w:spacing w:after="0" w:line="240" w:lineRule="auto"/>
        <w:ind w:firstLine="709"/>
        <w:jc w:val="both"/>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состоянию на 01.01.20</w:t>
      </w:r>
      <w:r w:rsidR="008C01C2" w:rsidRPr="00906EA7">
        <w:rPr>
          <w:rFonts w:ascii="Times New Roman" w:eastAsia="Times New Roman" w:hAnsi="Times New Roman" w:cs="Times New Roman"/>
          <w:sz w:val="24"/>
          <w:szCs w:val="24"/>
          <w:lang w:eastAsia="ru-RU"/>
        </w:rPr>
        <w:t>20</w:t>
      </w:r>
      <w:r w:rsidRPr="00906EA7">
        <w:rPr>
          <w:rFonts w:ascii="Times New Roman" w:eastAsia="Times New Roman" w:hAnsi="Times New Roman" w:cs="Times New Roman"/>
          <w:sz w:val="24"/>
          <w:szCs w:val="24"/>
          <w:lang w:eastAsia="ru-RU"/>
        </w:rPr>
        <w:t xml:space="preserve"> численность официально признанных безработными граждан составляет </w:t>
      </w:r>
      <w:r w:rsidR="008C01C2" w:rsidRPr="00906EA7">
        <w:rPr>
          <w:rFonts w:ascii="Times New Roman" w:eastAsia="Times New Roman" w:hAnsi="Times New Roman" w:cs="Times New Roman"/>
          <w:sz w:val="24"/>
          <w:szCs w:val="24"/>
          <w:lang w:eastAsia="ru-RU"/>
        </w:rPr>
        <w:t>53</w:t>
      </w:r>
      <w:r w:rsidRPr="00906EA7">
        <w:rPr>
          <w:rFonts w:ascii="Times New Roman" w:eastAsia="Times New Roman" w:hAnsi="Times New Roman" w:cs="Times New Roman"/>
          <w:sz w:val="24"/>
          <w:szCs w:val="24"/>
          <w:lang w:eastAsia="ru-RU"/>
        </w:rPr>
        <w:t xml:space="preserve"> человек</w:t>
      </w:r>
      <w:r w:rsidR="008C01C2"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что ниже того же показателя на 01.01.201</w:t>
      </w:r>
      <w:r w:rsidR="008C01C2"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на </w:t>
      </w:r>
      <w:r w:rsidR="008C01C2" w:rsidRPr="00906EA7">
        <w:rPr>
          <w:rFonts w:ascii="Times New Roman" w:eastAsia="Times New Roman" w:hAnsi="Times New Roman" w:cs="Times New Roman"/>
          <w:sz w:val="24"/>
          <w:szCs w:val="24"/>
          <w:lang w:eastAsia="ru-RU"/>
        </w:rPr>
        <w:t xml:space="preserve">47 </w:t>
      </w:r>
      <w:r w:rsidRPr="00906EA7">
        <w:rPr>
          <w:rFonts w:ascii="Times New Roman" w:eastAsia="Times New Roman" w:hAnsi="Times New Roman" w:cs="Times New Roman"/>
          <w:sz w:val="24"/>
          <w:szCs w:val="24"/>
          <w:lang w:eastAsia="ru-RU"/>
        </w:rPr>
        <w:t>человек</w:t>
      </w:r>
      <w:r w:rsidR="0074545C" w:rsidRPr="00906EA7">
        <w:rPr>
          <w:rFonts w:ascii="Times New Roman" w:eastAsia="Times New Roman" w:hAnsi="Times New Roman" w:cs="Times New Roman"/>
          <w:sz w:val="24"/>
          <w:szCs w:val="24"/>
          <w:lang w:eastAsia="ru-RU"/>
        </w:rPr>
        <w:t xml:space="preserve">, или </w:t>
      </w:r>
      <w:r w:rsidR="008C01C2" w:rsidRPr="00906EA7">
        <w:rPr>
          <w:rFonts w:ascii="Times New Roman" w:eastAsia="Times New Roman" w:hAnsi="Times New Roman" w:cs="Times New Roman"/>
          <w:sz w:val="24"/>
          <w:szCs w:val="24"/>
          <w:lang w:eastAsia="ru-RU"/>
        </w:rPr>
        <w:t>53</w:t>
      </w:r>
      <w:r w:rsidR="0074545C"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w:t>
      </w:r>
    </w:p>
    <w:p w:rsidR="00832937" w:rsidRPr="00906EA7" w:rsidRDefault="00832937" w:rsidP="0097253F">
      <w:pPr>
        <w:tabs>
          <w:tab w:val="left" w:pos="2856"/>
        </w:tabs>
        <w:spacing w:after="0" w:line="240" w:lineRule="auto"/>
        <w:ind w:firstLine="709"/>
        <w:jc w:val="both"/>
        <w:rPr>
          <w:rFonts w:ascii="Times New Roman" w:eastAsia="Calibri" w:hAnsi="Times New Roman" w:cs="Times New Roman"/>
          <w:sz w:val="24"/>
        </w:rPr>
      </w:pPr>
      <w:r w:rsidRPr="00906EA7">
        <w:rPr>
          <w:rFonts w:ascii="Times New Roman" w:eastAsia="Calibri" w:hAnsi="Times New Roman" w:cs="Times New Roman"/>
          <w:sz w:val="24"/>
        </w:rPr>
        <w:t>Уровень зарегистрированной безработицы на 01.01.20</w:t>
      </w:r>
      <w:r w:rsidR="008C01C2" w:rsidRPr="00906EA7">
        <w:rPr>
          <w:rFonts w:ascii="Times New Roman" w:eastAsia="Calibri" w:hAnsi="Times New Roman" w:cs="Times New Roman"/>
          <w:sz w:val="24"/>
        </w:rPr>
        <w:t>20</w:t>
      </w:r>
      <w:r w:rsidRPr="00906EA7">
        <w:rPr>
          <w:rFonts w:ascii="Times New Roman" w:eastAsia="Calibri" w:hAnsi="Times New Roman" w:cs="Times New Roman"/>
          <w:sz w:val="24"/>
        </w:rPr>
        <w:t xml:space="preserve"> составляет 0,</w:t>
      </w:r>
      <w:r w:rsidR="008C01C2" w:rsidRPr="00906EA7">
        <w:rPr>
          <w:rFonts w:ascii="Times New Roman" w:eastAsia="Calibri" w:hAnsi="Times New Roman" w:cs="Times New Roman"/>
          <w:sz w:val="24"/>
        </w:rPr>
        <w:t>14</w:t>
      </w:r>
      <w:r w:rsidRPr="00906EA7">
        <w:rPr>
          <w:rFonts w:ascii="Times New Roman" w:eastAsia="Calibri" w:hAnsi="Times New Roman" w:cs="Times New Roman"/>
          <w:sz w:val="24"/>
        </w:rPr>
        <w:t>%, на 01.01.201</w:t>
      </w:r>
      <w:r w:rsidR="008C01C2" w:rsidRPr="00906EA7">
        <w:rPr>
          <w:rFonts w:ascii="Times New Roman" w:eastAsia="Calibri" w:hAnsi="Times New Roman" w:cs="Times New Roman"/>
          <w:sz w:val="24"/>
        </w:rPr>
        <w:t>9</w:t>
      </w:r>
      <w:r w:rsidRPr="00906EA7">
        <w:rPr>
          <w:rFonts w:ascii="Times New Roman" w:eastAsia="Calibri" w:hAnsi="Times New Roman" w:cs="Times New Roman"/>
          <w:sz w:val="24"/>
        </w:rPr>
        <w:t xml:space="preserve"> составлял 0,</w:t>
      </w:r>
      <w:r w:rsidR="008C01C2" w:rsidRPr="00906EA7">
        <w:rPr>
          <w:rFonts w:ascii="Times New Roman" w:eastAsia="Calibri" w:hAnsi="Times New Roman" w:cs="Times New Roman"/>
          <w:sz w:val="24"/>
        </w:rPr>
        <w:t>26</w:t>
      </w:r>
      <w:r w:rsidRPr="00906EA7">
        <w:rPr>
          <w:rFonts w:ascii="Times New Roman" w:eastAsia="Calibri" w:hAnsi="Times New Roman" w:cs="Times New Roman"/>
          <w:sz w:val="24"/>
        </w:rPr>
        <w:t>%.</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целях снижения уровня безработицы и организации занятости населения на территории городского округа реализуется государственная программа   Ханты-Мансийского автономного округа – Югры «Поддержка занятости населения»,                            в результате реализации программы трудоустроено:</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общественные работы – 95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временное трудоустройство граждан предпенсионного и пенсионного возраста                         – 3 человека;</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временные работы для граждан, испытывающих трудности в поиске работы – 15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временное трудоустройство выпускников образовательных организаций – 21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заключено договоров на временное трудоустройство несовершеннолетних граждан в возрасте от 14 до 18 лет  – 1 141;</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трудоустройство незанятых инвалидов, в том числе молодого возраста – 6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стажировка инвалидов молодого возраста и инвалидов, получивших инвалидность впервые – 2 человека;</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трудоустройство освобожденных из мест лишения свободы – 2 человека;</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содействие самозанятости безработных граждан – 19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профессиональное обучение безработных граждан – 69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профессиональное обучение инвалидов – 2 человека;</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профессиональное обучение женщин, находящихся в отпуске по уходу за ребенком                    до достижения им возраста 3 лет, и женщин, осуществляющих уход за ребенком в возрасте                     до 3 лет – 11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профессиональное обучение и дополнительное профессиональное образование незанятых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 66 человек.</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p>
    <w:p w:rsidR="00832937" w:rsidRPr="00906EA7" w:rsidRDefault="00832937" w:rsidP="0097253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Динамика показателей безработицы за 201</w:t>
      </w:r>
      <w:r w:rsidR="00061E7F"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061E7F"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832937" w:rsidRPr="00906EA7" w:rsidRDefault="00832937" w:rsidP="0097253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32937" w:rsidRPr="00906EA7" w:rsidRDefault="00832937" w:rsidP="0097253F">
      <w:pPr>
        <w:autoSpaceDE w:val="0"/>
        <w:autoSpaceDN w:val="0"/>
        <w:adjustRightInd w:val="0"/>
        <w:spacing w:after="0" w:line="240" w:lineRule="auto"/>
        <w:ind w:firstLine="708"/>
        <w:jc w:val="center"/>
        <w:rPr>
          <w:rFonts w:ascii="Times New Roman" w:eastAsia="Times New Roman" w:hAnsi="Times New Roman" w:cs="Times New Roman"/>
          <w:sz w:val="4"/>
          <w:szCs w:val="4"/>
          <w:lang w:eastAsia="ru-RU"/>
        </w:rPr>
      </w:pPr>
    </w:p>
    <w:tbl>
      <w:tblPr>
        <w:tblW w:w="98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1286"/>
        <w:gridCol w:w="1287"/>
        <w:gridCol w:w="1287"/>
        <w:gridCol w:w="1287"/>
      </w:tblGrid>
      <w:tr w:rsidR="00061E7F" w:rsidRPr="00906EA7" w:rsidTr="00372C3F">
        <w:trPr>
          <w:trHeight w:val="438"/>
          <w:tblHeader/>
        </w:trPr>
        <w:tc>
          <w:tcPr>
            <w:tcW w:w="4720" w:type="dxa"/>
            <w:tcBorders>
              <w:top w:val="single" w:sz="4" w:space="0" w:color="auto"/>
              <w:left w:val="single" w:sz="4" w:space="0" w:color="auto"/>
              <w:bottom w:val="single" w:sz="4" w:space="0" w:color="auto"/>
              <w:right w:val="single" w:sz="4" w:space="0" w:color="auto"/>
            </w:tcBorders>
            <w:vAlign w:val="center"/>
            <w:hideMark/>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286" w:type="dxa"/>
            <w:tcBorders>
              <w:top w:val="single" w:sz="4" w:space="0" w:color="auto"/>
              <w:left w:val="single" w:sz="4" w:space="0" w:color="auto"/>
              <w:bottom w:val="single" w:sz="4" w:space="0" w:color="auto"/>
              <w:right w:val="single" w:sz="4" w:space="0" w:color="auto"/>
            </w:tcBorders>
            <w:vAlign w:val="center"/>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287" w:type="dxa"/>
            <w:tcBorders>
              <w:top w:val="single" w:sz="4" w:space="0" w:color="auto"/>
              <w:left w:val="single" w:sz="4" w:space="0" w:color="auto"/>
              <w:bottom w:val="single" w:sz="4" w:space="0" w:color="auto"/>
              <w:right w:val="single" w:sz="4" w:space="0" w:color="auto"/>
            </w:tcBorders>
            <w:vAlign w:val="center"/>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287" w:type="dxa"/>
            <w:tcBorders>
              <w:top w:val="single" w:sz="4" w:space="0" w:color="auto"/>
              <w:left w:val="single" w:sz="4" w:space="0" w:color="auto"/>
              <w:bottom w:val="single" w:sz="4" w:space="0" w:color="auto"/>
              <w:right w:val="single" w:sz="4" w:space="0" w:color="auto"/>
            </w:tcBorders>
            <w:vAlign w:val="center"/>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287" w:type="dxa"/>
            <w:tcBorders>
              <w:top w:val="single" w:sz="4" w:space="0" w:color="auto"/>
              <w:left w:val="single" w:sz="4" w:space="0" w:color="auto"/>
              <w:bottom w:val="single" w:sz="4" w:space="0" w:color="auto"/>
              <w:right w:val="single" w:sz="4" w:space="0" w:color="auto"/>
            </w:tcBorders>
            <w:vAlign w:val="center"/>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w:t>
            </w:r>
          </w:p>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w:t>
            </w:r>
            <w:r w:rsidR="007A77AF" w:rsidRPr="00906EA7">
              <w:rPr>
                <w:rFonts w:ascii="Times New Roman" w:eastAsia="Times New Roman" w:hAnsi="Times New Roman" w:cs="Times New Roman"/>
                <w:sz w:val="20"/>
                <w:szCs w:val="20"/>
                <w:lang w:eastAsia="ru-RU"/>
              </w:rPr>
              <w:t>9</w:t>
            </w:r>
            <w:r w:rsidR="008523D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w:t>
            </w:r>
            <w:r w:rsidR="007A77AF" w:rsidRPr="00906EA7">
              <w:rPr>
                <w:rFonts w:ascii="Times New Roman" w:eastAsia="Times New Roman" w:hAnsi="Times New Roman" w:cs="Times New Roman"/>
                <w:sz w:val="20"/>
                <w:szCs w:val="20"/>
                <w:lang w:eastAsia="ru-RU"/>
              </w:rPr>
              <w:t>8</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autoSpaceDE w:val="0"/>
              <w:autoSpaceDN w:val="0"/>
              <w:adjustRightInd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Численность обратившихся за услугами службы занятости населения, </w:t>
            </w:r>
            <w:r w:rsidRPr="00906EA7">
              <w:rPr>
                <w:rFonts w:ascii="Times New Roman" w:eastAsia="Times New Roman" w:hAnsi="Times New Roman" w:cs="Times New Roman"/>
                <w:sz w:val="20"/>
                <w:szCs w:val="20"/>
                <w:lang w:eastAsia="ru-RU"/>
              </w:rPr>
              <w:t>человек</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2344</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2182</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1939</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88,86</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autoSpaceDE w:val="0"/>
              <w:autoSpaceDN w:val="0"/>
              <w:adjustRightInd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Официально признаны безработными в течение года, </w:t>
            </w:r>
            <w:r w:rsidRPr="00906EA7">
              <w:rPr>
                <w:rFonts w:ascii="Times New Roman" w:eastAsia="Times New Roman" w:hAnsi="Times New Roman" w:cs="Times New Roman"/>
                <w:sz w:val="20"/>
                <w:szCs w:val="20"/>
                <w:lang w:eastAsia="ru-RU"/>
              </w:rPr>
              <w:t xml:space="preserve">человек </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466</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380</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284</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74,74</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autoSpaceDE w:val="0"/>
              <w:autoSpaceDN w:val="0"/>
              <w:adjustRightInd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 xml:space="preserve">Имеют официальный статус безработного на конец отчетного года, </w:t>
            </w:r>
            <w:r w:rsidRPr="00906EA7">
              <w:rPr>
                <w:rFonts w:ascii="Times New Roman" w:eastAsia="Times New Roman" w:hAnsi="Times New Roman" w:cs="Times New Roman"/>
                <w:sz w:val="20"/>
                <w:szCs w:val="20"/>
                <w:lang w:eastAsia="ru-RU"/>
              </w:rPr>
              <w:t>человек</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116</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53,00</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autoSpaceDE w:val="0"/>
              <w:autoSpaceDN w:val="0"/>
              <w:adjustRightInd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Уровень безработицы</w:t>
            </w:r>
            <w:r w:rsidRPr="00906EA7">
              <w:rPr>
                <w:rFonts w:ascii="Times New Roman" w:eastAsia="Times New Roman" w:hAnsi="Times New Roman" w:cs="Times New Roman"/>
                <w:sz w:val="20"/>
                <w:szCs w:val="20"/>
                <w:lang w:eastAsia="ru-RU"/>
              </w:rPr>
              <w:t>, % от численности экономически активного населения</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0,30</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0,26</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0,14</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spacing w:after="0" w:line="240" w:lineRule="auto"/>
              <w:rPr>
                <w:rFonts w:ascii="Times New Roman" w:eastAsia="Times New Roman" w:hAnsi="Times New Roman" w:cs="Times New Roman"/>
                <w:sz w:val="24"/>
              </w:rPr>
            </w:pPr>
            <w:r w:rsidRPr="00906EA7">
              <w:rPr>
                <w:rFonts w:ascii="Times New Roman" w:eastAsia="Times New Roman" w:hAnsi="Times New Roman" w:cs="Times New Roman"/>
                <w:sz w:val="24"/>
              </w:rPr>
              <w:t xml:space="preserve">Коэффициент напряженности на рынке труда, </w:t>
            </w:r>
            <w:r w:rsidRPr="00906EA7">
              <w:rPr>
                <w:rFonts w:ascii="Times New Roman" w:eastAsia="Times New Roman" w:hAnsi="Times New Roman" w:cs="Times New Roman"/>
                <w:sz w:val="20"/>
                <w:szCs w:val="20"/>
              </w:rPr>
              <w:t>человек на одно свободное  рабочее место</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0,19</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0,1</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0,06</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60,00</w:t>
            </w:r>
          </w:p>
        </w:tc>
      </w:tr>
    </w:tbl>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p>
    <w:p w:rsidR="00832937" w:rsidRPr="00906EA7" w:rsidRDefault="00832937"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Структура безработных граждан за 201</w:t>
      </w:r>
      <w:r w:rsidR="00E3106D"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E3106D"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832937" w:rsidRPr="00906EA7" w:rsidRDefault="00832937" w:rsidP="009725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6076"/>
        <w:gridCol w:w="1237"/>
        <w:gridCol w:w="1237"/>
        <w:gridCol w:w="1237"/>
      </w:tblGrid>
      <w:tr w:rsidR="00E3106D" w:rsidRPr="00906EA7" w:rsidTr="00372C3F">
        <w:trPr>
          <w:trHeight w:val="588"/>
          <w:tblHeader/>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Структурный состав безработных граждан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2017 год</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2018 год</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2019 год</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Доля мужчин, в % от общего числа безработных</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41,4</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43,0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30,2</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Доля женщин, в % от общего числа безработных</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58,6</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57,0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69,8</w:t>
            </w:r>
          </w:p>
        </w:tc>
      </w:tr>
      <w:tr w:rsidR="00E3106D" w:rsidRPr="00906EA7" w:rsidTr="00372C3F">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По уровню образования:</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имеют высшее профессиональное образование</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39,7</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45,0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49,1</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имеют среднее профессиональное образование</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35,3</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42,0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41,5</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не имеют профессионального образования</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13,0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9,4</w:t>
            </w:r>
          </w:p>
        </w:tc>
      </w:tr>
      <w:tr w:rsidR="00E3106D" w:rsidRPr="00906EA7" w:rsidTr="00372C3F">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По возрастному признаку:</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16-29 лет</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36,0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26,4</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30 лет и старше</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64,0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73,6</w:t>
            </w:r>
          </w:p>
        </w:tc>
      </w:tr>
    </w:tbl>
    <w:p w:rsidR="00832937" w:rsidRPr="00906EA7" w:rsidRDefault="00832937" w:rsidP="009725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32937" w:rsidRPr="00906EA7" w:rsidRDefault="00832937" w:rsidP="009725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Структура безработных граждан на начало года характеризуется ростом доли безработных граждан </w:t>
      </w:r>
      <w:r w:rsidR="005D005E" w:rsidRPr="00906EA7">
        <w:rPr>
          <w:rFonts w:ascii="Times New Roman" w:eastAsia="Times New Roman" w:hAnsi="Times New Roman" w:cs="Times New Roman"/>
          <w:sz w:val="24"/>
          <w:szCs w:val="24"/>
          <w:lang w:eastAsia="ru-RU"/>
        </w:rPr>
        <w:t>женского</w:t>
      </w:r>
      <w:r w:rsidRPr="00906EA7">
        <w:rPr>
          <w:rFonts w:ascii="Times New Roman" w:eastAsia="Times New Roman" w:hAnsi="Times New Roman" w:cs="Times New Roman"/>
          <w:sz w:val="24"/>
          <w:szCs w:val="24"/>
          <w:lang w:eastAsia="ru-RU"/>
        </w:rPr>
        <w:t xml:space="preserve"> пола на </w:t>
      </w:r>
      <w:r w:rsidR="005D005E" w:rsidRPr="00906EA7">
        <w:rPr>
          <w:rFonts w:ascii="Times New Roman" w:eastAsia="Times New Roman" w:hAnsi="Times New Roman" w:cs="Times New Roman"/>
          <w:sz w:val="24"/>
          <w:szCs w:val="24"/>
          <w:lang w:eastAsia="ru-RU"/>
        </w:rPr>
        <w:t>12,8</w:t>
      </w:r>
      <w:r w:rsidRPr="00906EA7">
        <w:rPr>
          <w:rFonts w:ascii="Times New Roman" w:eastAsia="Times New Roman" w:hAnsi="Times New Roman" w:cs="Times New Roman"/>
          <w:sz w:val="24"/>
          <w:szCs w:val="24"/>
          <w:lang w:eastAsia="ru-RU"/>
        </w:rPr>
        <w:t xml:space="preserve"> процентны</w:t>
      </w:r>
      <w:r w:rsidR="005D005E" w:rsidRPr="00906EA7">
        <w:rPr>
          <w:rFonts w:ascii="Times New Roman" w:eastAsia="Times New Roman" w:hAnsi="Times New Roman" w:cs="Times New Roman"/>
          <w:sz w:val="24"/>
          <w:szCs w:val="24"/>
          <w:lang w:eastAsia="ru-RU"/>
        </w:rPr>
        <w:t>х</w:t>
      </w:r>
      <w:r w:rsidRPr="00906EA7">
        <w:rPr>
          <w:rFonts w:ascii="Times New Roman" w:eastAsia="Times New Roman" w:hAnsi="Times New Roman" w:cs="Times New Roman"/>
          <w:sz w:val="24"/>
          <w:szCs w:val="24"/>
          <w:lang w:eastAsia="ru-RU"/>
        </w:rPr>
        <w:t xml:space="preserve"> пункт</w:t>
      </w:r>
      <w:r w:rsidR="005D005E"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и сокращением доли безработных граждан </w:t>
      </w:r>
      <w:r w:rsidR="005D005E" w:rsidRPr="00906EA7">
        <w:rPr>
          <w:rFonts w:ascii="Times New Roman" w:eastAsia="Times New Roman" w:hAnsi="Times New Roman" w:cs="Times New Roman"/>
          <w:sz w:val="24"/>
          <w:szCs w:val="24"/>
          <w:lang w:eastAsia="ru-RU"/>
        </w:rPr>
        <w:t>мужского</w:t>
      </w:r>
      <w:r w:rsidRPr="00906EA7">
        <w:rPr>
          <w:rFonts w:ascii="Times New Roman" w:eastAsia="Times New Roman" w:hAnsi="Times New Roman" w:cs="Times New Roman"/>
          <w:sz w:val="24"/>
          <w:szCs w:val="24"/>
          <w:lang w:eastAsia="ru-RU"/>
        </w:rPr>
        <w:t xml:space="preserve"> пола на </w:t>
      </w:r>
      <w:r w:rsidR="005D005E" w:rsidRPr="00906EA7">
        <w:rPr>
          <w:rFonts w:ascii="Times New Roman" w:eastAsia="Times New Roman" w:hAnsi="Times New Roman" w:cs="Times New Roman"/>
          <w:sz w:val="24"/>
          <w:szCs w:val="24"/>
          <w:lang w:eastAsia="ru-RU"/>
        </w:rPr>
        <w:t>12,8</w:t>
      </w:r>
      <w:r w:rsidRPr="00906EA7">
        <w:rPr>
          <w:rFonts w:ascii="Times New Roman" w:eastAsia="Times New Roman" w:hAnsi="Times New Roman" w:cs="Times New Roman"/>
          <w:sz w:val="24"/>
          <w:szCs w:val="24"/>
          <w:lang w:eastAsia="ru-RU"/>
        </w:rPr>
        <w:t xml:space="preserve"> процентны</w:t>
      </w:r>
      <w:r w:rsidR="005D005E" w:rsidRPr="00906EA7">
        <w:rPr>
          <w:rFonts w:ascii="Times New Roman" w:eastAsia="Times New Roman" w:hAnsi="Times New Roman" w:cs="Times New Roman"/>
          <w:sz w:val="24"/>
          <w:szCs w:val="24"/>
          <w:lang w:eastAsia="ru-RU"/>
        </w:rPr>
        <w:t>х</w:t>
      </w:r>
      <w:r w:rsidRPr="00906EA7">
        <w:rPr>
          <w:rFonts w:ascii="Times New Roman" w:eastAsia="Times New Roman" w:hAnsi="Times New Roman" w:cs="Times New Roman"/>
          <w:sz w:val="24"/>
          <w:szCs w:val="24"/>
          <w:lang w:eastAsia="ru-RU"/>
        </w:rPr>
        <w:t xml:space="preserve"> пункт</w:t>
      </w:r>
      <w:r w:rsidR="005D005E"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w:t>
      </w:r>
    </w:p>
    <w:p w:rsidR="00832937" w:rsidRPr="00906EA7" w:rsidRDefault="00832937" w:rsidP="009725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 уровню образования значительно приросла доля безработных с высшим образованием, на </w:t>
      </w:r>
      <w:r w:rsidR="008716A4" w:rsidRPr="00906EA7">
        <w:rPr>
          <w:rFonts w:ascii="Times New Roman" w:eastAsia="Times New Roman" w:hAnsi="Times New Roman" w:cs="Times New Roman"/>
          <w:sz w:val="24"/>
          <w:szCs w:val="24"/>
          <w:lang w:eastAsia="ru-RU"/>
        </w:rPr>
        <w:t>4,1</w:t>
      </w:r>
      <w:r w:rsidRPr="00906EA7">
        <w:rPr>
          <w:rFonts w:ascii="Times New Roman" w:eastAsia="Times New Roman" w:hAnsi="Times New Roman" w:cs="Times New Roman"/>
          <w:sz w:val="24"/>
          <w:szCs w:val="24"/>
          <w:lang w:eastAsia="ru-RU"/>
        </w:rPr>
        <w:t xml:space="preserve"> процентных пункт</w:t>
      </w:r>
      <w:r w:rsidR="008716A4" w:rsidRPr="00906EA7">
        <w:rPr>
          <w:rFonts w:ascii="Times New Roman" w:eastAsia="Times New Roman" w:hAnsi="Times New Roman" w:cs="Times New Roman"/>
          <w:sz w:val="24"/>
          <w:szCs w:val="24"/>
          <w:lang w:eastAsia="ru-RU"/>
        </w:rPr>
        <w:t>а. Д</w:t>
      </w:r>
      <w:r w:rsidRPr="00906EA7">
        <w:rPr>
          <w:rFonts w:ascii="Times New Roman" w:eastAsia="Times New Roman" w:hAnsi="Times New Roman" w:cs="Times New Roman"/>
          <w:sz w:val="24"/>
          <w:szCs w:val="24"/>
          <w:lang w:eastAsia="ru-RU"/>
        </w:rPr>
        <w:t xml:space="preserve">оля безработных со средним профессиональным образованием </w:t>
      </w:r>
      <w:r w:rsidR="008716A4" w:rsidRPr="00906EA7">
        <w:rPr>
          <w:rFonts w:ascii="Times New Roman" w:eastAsia="Times New Roman" w:hAnsi="Times New Roman" w:cs="Times New Roman"/>
          <w:sz w:val="24"/>
          <w:szCs w:val="24"/>
          <w:lang w:eastAsia="ru-RU"/>
        </w:rPr>
        <w:t xml:space="preserve">снизилась </w:t>
      </w:r>
      <w:r w:rsidRPr="00906EA7">
        <w:rPr>
          <w:rFonts w:ascii="Times New Roman" w:eastAsia="Times New Roman" w:hAnsi="Times New Roman" w:cs="Times New Roman"/>
          <w:sz w:val="24"/>
          <w:szCs w:val="24"/>
          <w:lang w:eastAsia="ru-RU"/>
        </w:rPr>
        <w:t xml:space="preserve">на </w:t>
      </w:r>
      <w:r w:rsidR="008716A4" w:rsidRPr="00906EA7">
        <w:rPr>
          <w:rFonts w:ascii="Times New Roman" w:eastAsia="Times New Roman" w:hAnsi="Times New Roman" w:cs="Times New Roman"/>
          <w:sz w:val="24"/>
          <w:szCs w:val="24"/>
          <w:lang w:eastAsia="ru-RU"/>
        </w:rPr>
        <w:t>0,5</w:t>
      </w:r>
      <w:r w:rsidRPr="00906EA7">
        <w:rPr>
          <w:rFonts w:ascii="Times New Roman" w:eastAsia="Times New Roman" w:hAnsi="Times New Roman" w:cs="Times New Roman"/>
          <w:sz w:val="24"/>
          <w:szCs w:val="24"/>
          <w:lang w:eastAsia="ru-RU"/>
        </w:rPr>
        <w:t xml:space="preserve"> процентных пункт</w:t>
      </w:r>
      <w:r w:rsidR="008716A4"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Также значительно, на </w:t>
      </w:r>
      <w:r w:rsidR="008716A4" w:rsidRPr="00906EA7">
        <w:rPr>
          <w:rFonts w:ascii="Times New Roman" w:eastAsia="Times New Roman" w:hAnsi="Times New Roman" w:cs="Times New Roman"/>
          <w:sz w:val="24"/>
          <w:szCs w:val="24"/>
          <w:lang w:eastAsia="ru-RU"/>
        </w:rPr>
        <w:t>3,6</w:t>
      </w:r>
      <w:r w:rsidRPr="00906EA7">
        <w:rPr>
          <w:rFonts w:ascii="Times New Roman" w:eastAsia="Times New Roman" w:hAnsi="Times New Roman" w:cs="Times New Roman"/>
          <w:sz w:val="24"/>
          <w:szCs w:val="24"/>
          <w:lang w:eastAsia="ru-RU"/>
        </w:rPr>
        <w:t xml:space="preserve"> процентных пункт</w:t>
      </w:r>
      <w:r w:rsidR="008716A4"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снизилось число безработных, не имеющих профессионального образования.</w:t>
      </w:r>
    </w:p>
    <w:p w:rsidR="00832937" w:rsidRPr="00906EA7" w:rsidRDefault="00832937" w:rsidP="009725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 возрастному признаку численность </w:t>
      </w:r>
      <w:r w:rsidR="0074545C" w:rsidRPr="00906EA7">
        <w:rPr>
          <w:rFonts w:ascii="Times New Roman" w:eastAsia="Times New Roman" w:hAnsi="Times New Roman" w:cs="Times New Roman"/>
          <w:sz w:val="24"/>
          <w:szCs w:val="24"/>
          <w:lang w:eastAsia="ru-RU"/>
        </w:rPr>
        <w:t xml:space="preserve">безработных </w:t>
      </w:r>
      <w:r w:rsidR="00E1069E" w:rsidRPr="00906EA7">
        <w:rPr>
          <w:rFonts w:ascii="Times New Roman" w:eastAsia="Times New Roman" w:hAnsi="Times New Roman" w:cs="Times New Roman"/>
          <w:sz w:val="24"/>
          <w:szCs w:val="24"/>
          <w:lang w:eastAsia="ru-RU"/>
        </w:rPr>
        <w:t>характеризуется</w:t>
      </w:r>
      <w:r w:rsidRPr="00906EA7">
        <w:rPr>
          <w:rFonts w:ascii="Times New Roman" w:eastAsia="Times New Roman" w:hAnsi="Times New Roman" w:cs="Times New Roman"/>
          <w:sz w:val="24"/>
          <w:szCs w:val="24"/>
          <w:lang w:eastAsia="ru-RU"/>
        </w:rPr>
        <w:t xml:space="preserve"> </w:t>
      </w:r>
      <w:r w:rsidR="008716A4" w:rsidRPr="00906EA7">
        <w:rPr>
          <w:rFonts w:ascii="Times New Roman" w:eastAsia="Times New Roman" w:hAnsi="Times New Roman" w:cs="Times New Roman"/>
          <w:sz w:val="24"/>
          <w:szCs w:val="24"/>
          <w:lang w:eastAsia="ru-RU"/>
        </w:rPr>
        <w:t>снижением</w:t>
      </w:r>
      <w:r w:rsidRPr="00906EA7">
        <w:rPr>
          <w:rFonts w:ascii="Times New Roman" w:eastAsia="Times New Roman" w:hAnsi="Times New Roman" w:cs="Times New Roman"/>
          <w:sz w:val="24"/>
          <w:szCs w:val="24"/>
          <w:lang w:eastAsia="ru-RU"/>
        </w:rPr>
        <w:t xml:space="preserve"> числ</w:t>
      </w:r>
      <w:r w:rsidR="00E1069E" w:rsidRPr="00906EA7">
        <w:rPr>
          <w:rFonts w:ascii="Times New Roman" w:eastAsia="Times New Roman" w:hAnsi="Times New Roman" w:cs="Times New Roman"/>
          <w:sz w:val="24"/>
          <w:szCs w:val="24"/>
          <w:lang w:eastAsia="ru-RU"/>
        </w:rPr>
        <w:t>а молодежи в возрасте 16-29 лет</w:t>
      </w:r>
      <w:r w:rsidRPr="00906EA7">
        <w:rPr>
          <w:rFonts w:ascii="Times New Roman" w:eastAsia="Times New Roman" w:hAnsi="Times New Roman" w:cs="Times New Roman"/>
          <w:sz w:val="24"/>
          <w:szCs w:val="24"/>
          <w:lang w:eastAsia="ru-RU"/>
        </w:rPr>
        <w:t xml:space="preserve"> на </w:t>
      </w:r>
      <w:r w:rsidR="008716A4" w:rsidRPr="00906EA7">
        <w:rPr>
          <w:rFonts w:ascii="Times New Roman" w:eastAsia="Times New Roman" w:hAnsi="Times New Roman" w:cs="Times New Roman"/>
          <w:sz w:val="24"/>
          <w:szCs w:val="24"/>
          <w:lang w:eastAsia="ru-RU"/>
        </w:rPr>
        <w:t>9,6</w:t>
      </w:r>
      <w:r w:rsidRPr="00906EA7">
        <w:rPr>
          <w:rFonts w:ascii="Times New Roman" w:eastAsia="Times New Roman" w:hAnsi="Times New Roman" w:cs="Times New Roman"/>
          <w:sz w:val="24"/>
          <w:szCs w:val="24"/>
          <w:lang w:eastAsia="ru-RU"/>
        </w:rPr>
        <w:t xml:space="preserve"> процентных пункт</w:t>
      </w:r>
      <w:r w:rsidR="008716A4"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на фоне </w:t>
      </w:r>
      <w:r w:rsidR="008716A4" w:rsidRPr="00906EA7">
        <w:rPr>
          <w:rFonts w:ascii="Times New Roman" w:eastAsia="Times New Roman" w:hAnsi="Times New Roman" w:cs="Times New Roman"/>
          <w:sz w:val="24"/>
          <w:szCs w:val="24"/>
          <w:lang w:eastAsia="ru-RU"/>
        </w:rPr>
        <w:t>роста</w:t>
      </w:r>
      <w:r w:rsidRPr="00906EA7">
        <w:rPr>
          <w:rFonts w:ascii="Times New Roman" w:eastAsia="Times New Roman" w:hAnsi="Times New Roman" w:cs="Times New Roman"/>
          <w:sz w:val="24"/>
          <w:szCs w:val="24"/>
          <w:lang w:eastAsia="ru-RU"/>
        </w:rPr>
        <w:t xml:space="preserve"> </w:t>
      </w:r>
      <w:r w:rsidR="00E1069E" w:rsidRPr="00906EA7">
        <w:rPr>
          <w:rFonts w:ascii="Times New Roman" w:eastAsia="Times New Roman" w:hAnsi="Times New Roman" w:cs="Times New Roman"/>
          <w:sz w:val="24"/>
          <w:szCs w:val="24"/>
          <w:lang w:eastAsia="ru-RU"/>
        </w:rPr>
        <w:t>безработных</w:t>
      </w:r>
      <w:r w:rsidRPr="00906EA7">
        <w:rPr>
          <w:rFonts w:ascii="Times New Roman" w:eastAsia="Times New Roman" w:hAnsi="Times New Roman" w:cs="Times New Roman"/>
          <w:sz w:val="24"/>
          <w:szCs w:val="24"/>
          <w:lang w:eastAsia="ru-RU"/>
        </w:rPr>
        <w:t xml:space="preserve"> в возрастном интервале 30 лет и старше.</w:t>
      </w:r>
    </w:p>
    <w:p w:rsidR="00832937" w:rsidRPr="00906EA7" w:rsidRDefault="00832937" w:rsidP="009725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Из общего числа безработных </w:t>
      </w:r>
      <w:r w:rsidR="008716A4" w:rsidRPr="00906EA7">
        <w:rPr>
          <w:rFonts w:ascii="Times New Roman" w:eastAsia="Times New Roman" w:hAnsi="Times New Roman" w:cs="Times New Roman"/>
          <w:sz w:val="24"/>
          <w:szCs w:val="24"/>
          <w:lang w:eastAsia="ru-RU"/>
        </w:rPr>
        <w:t>3,8</w:t>
      </w:r>
      <w:r w:rsidRPr="00906EA7">
        <w:rPr>
          <w:rFonts w:ascii="Times New Roman" w:eastAsia="Times New Roman" w:hAnsi="Times New Roman" w:cs="Times New Roman"/>
          <w:sz w:val="24"/>
          <w:szCs w:val="24"/>
          <w:lang w:eastAsia="ru-RU"/>
        </w:rPr>
        <w:t>% (</w:t>
      </w:r>
      <w:r w:rsidR="00E07DC1" w:rsidRPr="00906EA7">
        <w:rPr>
          <w:rFonts w:ascii="Times New Roman" w:eastAsia="Times New Roman" w:hAnsi="Times New Roman" w:cs="Times New Roman"/>
          <w:sz w:val="24"/>
          <w:szCs w:val="24"/>
          <w:lang w:eastAsia="ru-RU"/>
        </w:rPr>
        <w:t>4,0</w:t>
      </w:r>
      <w:r w:rsidRPr="00906EA7">
        <w:rPr>
          <w:rFonts w:ascii="Times New Roman" w:eastAsia="Times New Roman" w:hAnsi="Times New Roman" w:cs="Times New Roman"/>
          <w:sz w:val="24"/>
          <w:szCs w:val="24"/>
          <w:lang w:eastAsia="ru-RU"/>
        </w:rPr>
        <w:t>% в 201</w:t>
      </w:r>
      <w:r w:rsidR="00E07DC1"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являются инвалидами, </w:t>
      </w:r>
      <w:r w:rsidR="008716A4" w:rsidRPr="00906EA7">
        <w:rPr>
          <w:rFonts w:ascii="Times New Roman" w:eastAsia="Times New Roman" w:hAnsi="Times New Roman" w:cs="Times New Roman"/>
          <w:sz w:val="24"/>
          <w:szCs w:val="24"/>
          <w:lang w:eastAsia="ru-RU"/>
        </w:rPr>
        <w:t>9,4</w:t>
      </w:r>
      <w:r w:rsidRPr="00906EA7">
        <w:rPr>
          <w:rFonts w:ascii="Times New Roman" w:eastAsia="Times New Roman" w:hAnsi="Times New Roman" w:cs="Times New Roman"/>
          <w:sz w:val="24"/>
          <w:szCs w:val="24"/>
          <w:lang w:eastAsia="ru-RU"/>
        </w:rPr>
        <w:t>% выпускниками учреждени</w:t>
      </w:r>
      <w:r w:rsidR="0074545C" w:rsidRPr="00906EA7">
        <w:rPr>
          <w:rFonts w:ascii="Times New Roman" w:eastAsia="Times New Roman" w:hAnsi="Times New Roman" w:cs="Times New Roman"/>
          <w:sz w:val="24"/>
          <w:szCs w:val="24"/>
          <w:lang w:eastAsia="ru-RU"/>
        </w:rPr>
        <w:t>й профессионального образования</w:t>
      </w:r>
      <w:r w:rsidR="008716A4" w:rsidRPr="00906EA7">
        <w:rPr>
          <w:rFonts w:ascii="Times New Roman" w:eastAsia="Times New Roman" w:hAnsi="Times New Roman" w:cs="Times New Roman"/>
          <w:sz w:val="24"/>
          <w:szCs w:val="24"/>
          <w:lang w:eastAsia="ru-RU"/>
        </w:rPr>
        <w:t xml:space="preserve"> (5%)</w:t>
      </w:r>
      <w:r w:rsidR="0074545C" w:rsidRPr="00906EA7">
        <w:rPr>
          <w:rFonts w:ascii="Times New Roman" w:eastAsia="Times New Roman" w:hAnsi="Times New Roman" w:cs="Times New Roman"/>
          <w:sz w:val="24"/>
          <w:szCs w:val="24"/>
          <w:lang w:eastAsia="ru-RU"/>
        </w:rPr>
        <w:t>; впервые ищущими</w:t>
      </w:r>
      <w:r w:rsidRPr="00906EA7">
        <w:rPr>
          <w:rFonts w:ascii="Times New Roman" w:eastAsia="Times New Roman" w:hAnsi="Times New Roman" w:cs="Times New Roman"/>
          <w:sz w:val="24"/>
          <w:szCs w:val="24"/>
          <w:lang w:eastAsia="ru-RU"/>
        </w:rPr>
        <w:t xml:space="preserve"> работу </w:t>
      </w:r>
      <w:r w:rsidR="008716A4" w:rsidRPr="00906EA7">
        <w:rPr>
          <w:rFonts w:ascii="Times New Roman" w:eastAsia="Times New Roman" w:hAnsi="Times New Roman" w:cs="Times New Roman"/>
          <w:sz w:val="24"/>
          <w:szCs w:val="24"/>
          <w:lang w:eastAsia="ru-RU"/>
        </w:rPr>
        <w:t>13,2</w:t>
      </w:r>
      <w:r w:rsidRPr="00906EA7">
        <w:rPr>
          <w:rFonts w:ascii="Times New Roman" w:eastAsia="Times New Roman" w:hAnsi="Times New Roman" w:cs="Times New Roman"/>
          <w:sz w:val="24"/>
          <w:szCs w:val="24"/>
          <w:lang w:eastAsia="ru-RU"/>
        </w:rPr>
        <w:t>%</w:t>
      </w:r>
      <w:r w:rsidR="0074545C" w:rsidRPr="00906EA7">
        <w:rPr>
          <w:rFonts w:ascii="Times New Roman" w:eastAsia="Times New Roman" w:hAnsi="Times New Roman" w:cs="Times New Roman"/>
          <w:sz w:val="24"/>
          <w:szCs w:val="24"/>
          <w:lang w:eastAsia="ru-RU"/>
        </w:rPr>
        <w:t xml:space="preserve"> (</w:t>
      </w:r>
      <w:r w:rsidR="00E07DC1" w:rsidRPr="00906EA7">
        <w:rPr>
          <w:rFonts w:ascii="Times New Roman" w:eastAsia="Times New Roman" w:hAnsi="Times New Roman" w:cs="Times New Roman"/>
          <w:sz w:val="24"/>
          <w:szCs w:val="24"/>
          <w:lang w:eastAsia="ru-RU"/>
        </w:rPr>
        <w:t>12</w:t>
      </w:r>
      <w:r w:rsidR="0074545C" w:rsidRPr="00906EA7">
        <w:rPr>
          <w:rFonts w:ascii="Times New Roman" w:eastAsia="Times New Roman" w:hAnsi="Times New Roman" w:cs="Times New Roman"/>
          <w:sz w:val="24"/>
          <w:szCs w:val="24"/>
          <w:lang w:eastAsia="ru-RU"/>
        </w:rPr>
        <w:t>,0%);</w:t>
      </w:r>
      <w:r w:rsidRPr="00906EA7">
        <w:rPr>
          <w:rFonts w:ascii="Times New Roman" w:eastAsia="Times New Roman" w:hAnsi="Times New Roman" w:cs="Times New Roman"/>
          <w:sz w:val="24"/>
          <w:szCs w:val="24"/>
          <w:lang w:eastAsia="ru-RU"/>
        </w:rPr>
        <w:t xml:space="preserve"> длительно не работ</w:t>
      </w:r>
      <w:r w:rsidR="0074545C" w:rsidRPr="00906EA7">
        <w:rPr>
          <w:rFonts w:ascii="Times New Roman" w:eastAsia="Times New Roman" w:hAnsi="Times New Roman" w:cs="Times New Roman"/>
          <w:sz w:val="24"/>
          <w:szCs w:val="24"/>
          <w:lang w:eastAsia="ru-RU"/>
        </w:rPr>
        <w:t>ающими</w:t>
      </w:r>
      <w:r w:rsidRPr="00906EA7">
        <w:rPr>
          <w:rFonts w:ascii="Times New Roman" w:eastAsia="Times New Roman" w:hAnsi="Times New Roman" w:cs="Times New Roman"/>
          <w:sz w:val="24"/>
          <w:szCs w:val="24"/>
          <w:lang w:eastAsia="ru-RU"/>
        </w:rPr>
        <w:t>, но стремящи</w:t>
      </w:r>
      <w:r w:rsidR="0074545C" w:rsidRPr="00906EA7">
        <w:rPr>
          <w:rFonts w:ascii="Times New Roman" w:eastAsia="Times New Roman" w:hAnsi="Times New Roman" w:cs="Times New Roman"/>
          <w:sz w:val="24"/>
          <w:szCs w:val="24"/>
          <w:lang w:eastAsia="ru-RU"/>
        </w:rPr>
        <w:t>ми</w:t>
      </w:r>
      <w:r w:rsidRPr="00906EA7">
        <w:rPr>
          <w:rFonts w:ascii="Times New Roman" w:eastAsia="Times New Roman" w:hAnsi="Times New Roman" w:cs="Times New Roman"/>
          <w:sz w:val="24"/>
          <w:szCs w:val="24"/>
          <w:lang w:eastAsia="ru-RU"/>
        </w:rPr>
        <w:t>ся во</w:t>
      </w:r>
      <w:r w:rsidR="0074545C" w:rsidRPr="00906EA7">
        <w:rPr>
          <w:rFonts w:ascii="Times New Roman" w:eastAsia="Times New Roman" w:hAnsi="Times New Roman" w:cs="Times New Roman"/>
          <w:sz w:val="24"/>
          <w:szCs w:val="24"/>
          <w:lang w:eastAsia="ru-RU"/>
        </w:rPr>
        <w:t>зобновить трудовую деятельность</w:t>
      </w:r>
      <w:r w:rsidRPr="00906EA7">
        <w:rPr>
          <w:rFonts w:ascii="Times New Roman" w:eastAsia="Times New Roman" w:hAnsi="Times New Roman" w:cs="Times New Roman"/>
          <w:sz w:val="24"/>
          <w:szCs w:val="24"/>
          <w:lang w:eastAsia="ru-RU"/>
        </w:rPr>
        <w:t xml:space="preserve"> </w:t>
      </w:r>
      <w:r w:rsidR="008716A4" w:rsidRPr="00906EA7">
        <w:rPr>
          <w:rFonts w:ascii="Times New Roman" w:eastAsia="Times New Roman" w:hAnsi="Times New Roman" w:cs="Times New Roman"/>
          <w:sz w:val="24"/>
          <w:szCs w:val="24"/>
          <w:lang w:eastAsia="ru-RU"/>
        </w:rPr>
        <w:t>5,7</w:t>
      </w:r>
      <w:r w:rsidRPr="00906EA7">
        <w:rPr>
          <w:rFonts w:ascii="Times New Roman" w:eastAsia="Times New Roman" w:hAnsi="Times New Roman" w:cs="Times New Roman"/>
          <w:sz w:val="24"/>
          <w:szCs w:val="24"/>
          <w:lang w:eastAsia="ru-RU"/>
        </w:rPr>
        <w:t>% (6,0%)</w:t>
      </w:r>
      <w:r w:rsidR="0074545C" w:rsidRPr="00906EA7">
        <w:rPr>
          <w:rFonts w:ascii="Times New Roman" w:eastAsia="Times New Roman" w:hAnsi="Times New Roman" w:cs="Times New Roman"/>
          <w:sz w:val="24"/>
          <w:szCs w:val="24"/>
          <w:lang w:eastAsia="ru-RU"/>
        </w:rPr>
        <w:t xml:space="preserve">; и </w:t>
      </w:r>
      <w:r w:rsidRPr="00906EA7">
        <w:rPr>
          <w:rFonts w:ascii="Times New Roman" w:eastAsia="Times New Roman" w:hAnsi="Times New Roman" w:cs="Times New Roman"/>
          <w:sz w:val="24"/>
          <w:szCs w:val="24"/>
          <w:lang w:eastAsia="ru-RU"/>
        </w:rPr>
        <w:t>по иным причинам</w:t>
      </w:r>
      <w:r w:rsidR="0074545C" w:rsidRPr="00906EA7">
        <w:rPr>
          <w:rFonts w:ascii="Times New Roman" w:eastAsia="Times New Roman" w:hAnsi="Times New Roman" w:cs="Times New Roman"/>
          <w:sz w:val="24"/>
          <w:szCs w:val="24"/>
          <w:lang w:eastAsia="ru-RU"/>
        </w:rPr>
        <w:t xml:space="preserve"> </w:t>
      </w:r>
      <w:r w:rsidR="008716A4" w:rsidRPr="00906EA7">
        <w:rPr>
          <w:rFonts w:ascii="Times New Roman" w:eastAsia="Times New Roman" w:hAnsi="Times New Roman" w:cs="Times New Roman"/>
          <w:sz w:val="24"/>
          <w:szCs w:val="24"/>
          <w:lang w:eastAsia="ru-RU"/>
        </w:rPr>
        <w:t>–</w:t>
      </w:r>
      <w:r w:rsidR="0074545C" w:rsidRPr="00906EA7">
        <w:rPr>
          <w:rFonts w:ascii="Times New Roman" w:eastAsia="Times New Roman" w:hAnsi="Times New Roman" w:cs="Times New Roman"/>
          <w:sz w:val="24"/>
          <w:szCs w:val="24"/>
          <w:lang w:eastAsia="ru-RU"/>
        </w:rPr>
        <w:t xml:space="preserve"> </w:t>
      </w:r>
      <w:r w:rsidR="008716A4" w:rsidRPr="00906EA7">
        <w:rPr>
          <w:rFonts w:ascii="Times New Roman" w:eastAsia="Times New Roman" w:hAnsi="Times New Roman" w:cs="Times New Roman"/>
          <w:sz w:val="24"/>
          <w:szCs w:val="24"/>
          <w:lang w:eastAsia="ru-RU"/>
        </w:rPr>
        <w:t>67,9</w:t>
      </w:r>
      <w:r w:rsidR="0074545C"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w:t>
      </w:r>
    </w:p>
    <w:p w:rsidR="00832937" w:rsidRPr="00906EA7" w:rsidRDefault="00832937" w:rsidP="009725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 причинам увольнения: </w:t>
      </w:r>
      <w:r w:rsidR="00DF72A6" w:rsidRPr="00906EA7">
        <w:rPr>
          <w:rFonts w:ascii="Times New Roman" w:eastAsia="Times New Roman" w:hAnsi="Times New Roman" w:cs="Times New Roman"/>
          <w:sz w:val="24"/>
          <w:szCs w:val="24"/>
          <w:lang w:eastAsia="ru-RU"/>
        </w:rPr>
        <w:t>67,9</w:t>
      </w:r>
      <w:r w:rsidRPr="00906EA7">
        <w:rPr>
          <w:rFonts w:ascii="Times New Roman" w:eastAsia="Times New Roman" w:hAnsi="Times New Roman" w:cs="Times New Roman"/>
          <w:sz w:val="24"/>
          <w:szCs w:val="24"/>
          <w:lang w:eastAsia="ru-RU"/>
        </w:rPr>
        <w:t>% (</w:t>
      </w:r>
      <w:r w:rsidR="00E07DC1" w:rsidRPr="00906EA7">
        <w:rPr>
          <w:rFonts w:ascii="Times New Roman" w:eastAsia="Times New Roman" w:hAnsi="Times New Roman" w:cs="Times New Roman"/>
          <w:sz w:val="24"/>
          <w:szCs w:val="24"/>
          <w:lang w:eastAsia="ru-RU"/>
        </w:rPr>
        <w:t>59</w:t>
      </w:r>
      <w:r w:rsidRPr="00906EA7">
        <w:rPr>
          <w:rFonts w:ascii="Times New Roman" w:eastAsia="Times New Roman" w:hAnsi="Times New Roman" w:cs="Times New Roman"/>
          <w:sz w:val="24"/>
          <w:szCs w:val="24"/>
          <w:lang w:eastAsia="ru-RU"/>
        </w:rPr>
        <w:t>% в 201</w:t>
      </w:r>
      <w:r w:rsidR="00E07DC1"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это уволенные по собственному желанию, </w:t>
      </w:r>
      <w:r w:rsidR="00DF72A6" w:rsidRPr="00906EA7">
        <w:rPr>
          <w:rFonts w:ascii="Times New Roman" w:eastAsia="Times New Roman" w:hAnsi="Times New Roman" w:cs="Times New Roman"/>
          <w:sz w:val="24"/>
          <w:szCs w:val="24"/>
          <w:lang w:eastAsia="ru-RU"/>
        </w:rPr>
        <w:t>3,8</w:t>
      </w:r>
      <w:r w:rsidRPr="00906EA7">
        <w:rPr>
          <w:rFonts w:ascii="Times New Roman" w:eastAsia="Times New Roman" w:hAnsi="Times New Roman" w:cs="Times New Roman"/>
          <w:sz w:val="24"/>
          <w:szCs w:val="24"/>
          <w:lang w:eastAsia="ru-RU"/>
        </w:rPr>
        <w:t>% (</w:t>
      </w:r>
      <w:r w:rsidR="00E07DC1"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,0%) доля уволенных в </w:t>
      </w:r>
      <w:r w:rsidR="00DF72A6" w:rsidRPr="00906EA7">
        <w:rPr>
          <w:rFonts w:ascii="Times New Roman" w:eastAsia="Times New Roman" w:hAnsi="Times New Roman" w:cs="Times New Roman"/>
          <w:sz w:val="24"/>
          <w:szCs w:val="24"/>
          <w:lang w:eastAsia="ru-RU"/>
        </w:rPr>
        <w:t>связи с ликвидацией организации</w:t>
      </w:r>
      <w:r w:rsidRPr="00906EA7">
        <w:rPr>
          <w:rFonts w:ascii="Times New Roman" w:eastAsia="Times New Roman" w:hAnsi="Times New Roman" w:cs="Times New Roman"/>
          <w:sz w:val="24"/>
          <w:szCs w:val="24"/>
          <w:lang w:eastAsia="ru-RU"/>
        </w:rPr>
        <w:t>.</w:t>
      </w:r>
    </w:p>
    <w:p w:rsidR="00832937" w:rsidRPr="00906EA7" w:rsidRDefault="00832937" w:rsidP="0097253F">
      <w:pPr>
        <w:spacing w:after="0" w:line="240" w:lineRule="auto"/>
        <w:ind w:firstLine="708"/>
        <w:jc w:val="both"/>
        <w:rPr>
          <w:rFonts w:ascii="Times New Roman" w:eastAsia="Calibri" w:hAnsi="Times New Roman" w:cs="Times New Roman"/>
          <w:sz w:val="24"/>
        </w:rPr>
      </w:pPr>
      <w:r w:rsidRPr="00906EA7">
        <w:rPr>
          <w:rFonts w:ascii="Times New Roman" w:eastAsia="Calibri" w:hAnsi="Times New Roman" w:cs="Times New Roman"/>
          <w:sz w:val="24"/>
        </w:rPr>
        <w:t>На 01.01.20</w:t>
      </w:r>
      <w:r w:rsidR="00E3106D" w:rsidRPr="00906EA7">
        <w:rPr>
          <w:rFonts w:ascii="Times New Roman" w:eastAsia="Calibri" w:hAnsi="Times New Roman" w:cs="Times New Roman"/>
          <w:sz w:val="24"/>
        </w:rPr>
        <w:t>20</w:t>
      </w:r>
      <w:r w:rsidRPr="00906EA7">
        <w:rPr>
          <w:rFonts w:ascii="Times New Roman" w:eastAsia="Calibri" w:hAnsi="Times New Roman" w:cs="Times New Roman"/>
          <w:sz w:val="24"/>
        </w:rPr>
        <w:t xml:space="preserve"> количество свободных рабочих мест, </w:t>
      </w:r>
      <w:r w:rsidR="00E1069E" w:rsidRPr="00906EA7">
        <w:rPr>
          <w:rFonts w:ascii="Times New Roman" w:eastAsia="Calibri" w:hAnsi="Times New Roman" w:cs="Times New Roman"/>
          <w:sz w:val="24"/>
        </w:rPr>
        <w:t xml:space="preserve">по данным, </w:t>
      </w:r>
      <w:r w:rsidRPr="00906EA7">
        <w:rPr>
          <w:rFonts w:ascii="Times New Roman" w:eastAsia="Calibri" w:hAnsi="Times New Roman" w:cs="Times New Roman"/>
          <w:sz w:val="24"/>
        </w:rPr>
        <w:t>предоставленны</w:t>
      </w:r>
      <w:r w:rsidR="00E1069E" w:rsidRPr="00906EA7">
        <w:rPr>
          <w:rFonts w:ascii="Times New Roman" w:eastAsia="Calibri" w:hAnsi="Times New Roman" w:cs="Times New Roman"/>
          <w:sz w:val="24"/>
        </w:rPr>
        <w:t>м</w:t>
      </w:r>
      <w:r w:rsidRPr="00906EA7">
        <w:rPr>
          <w:rFonts w:ascii="Times New Roman" w:eastAsia="Calibri" w:hAnsi="Times New Roman" w:cs="Times New Roman"/>
          <w:sz w:val="24"/>
        </w:rPr>
        <w:t xml:space="preserve"> работодателями в службу занятости населения, составляет </w:t>
      </w:r>
      <w:r w:rsidR="008716A4" w:rsidRPr="00906EA7">
        <w:rPr>
          <w:rFonts w:ascii="Times New Roman" w:eastAsia="Calibri" w:hAnsi="Times New Roman" w:cs="Times New Roman"/>
          <w:sz w:val="24"/>
        </w:rPr>
        <w:t>722</w:t>
      </w:r>
      <w:r w:rsidRPr="00906EA7">
        <w:rPr>
          <w:rFonts w:ascii="Times New Roman" w:eastAsia="Calibri" w:hAnsi="Times New Roman" w:cs="Times New Roman"/>
          <w:sz w:val="24"/>
        </w:rPr>
        <w:t xml:space="preserve"> вакансии против </w:t>
      </w:r>
      <w:r w:rsidR="00E3106D" w:rsidRPr="00906EA7">
        <w:rPr>
          <w:rFonts w:ascii="Times New Roman" w:eastAsia="Calibri" w:hAnsi="Times New Roman" w:cs="Times New Roman"/>
          <w:sz w:val="24"/>
        </w:rPr>
        <w:t>1473</w:t>
      </w:r>
      <w:r w:rsidRPr="00906EA7">
        <w:rPr>
          <w:rFonts w:ascii="Times New Roman" w:eastAsia="Calibri" w:hAnsi="Times New Roman" w:cs="Times New Roman"/>
          <w:sz w:val="24"/>
        </w:rPr>
        <w:t xml:space="preserve"> ваканси</w:t>
      </w:r>
      <w:r w:rsidR="00E3106D" w:rsidRPr="00906EA7">
        <w:rPr>
          <w:rFonts w:ascii="Times New Roman" w:eastAsia="Calibri" w:hAnsi="Times New Roman" w:cs="Times New Roman"/>
          <w:sz w:val="24"/>
        </w:rPr>
        <w:t>й</w:t>
      </w:r>
      <w:r w:rsidRPr="00906EA7">
        <w:rPr>
          <w:rFonts w:ascii="Times New Roman" w:eastAsia="Calibri" w:hAnsi="Times New Roman" w:cs="Times New Roman"/>
          <w:sz w:val="24"/>
        </w:rPr>
        <w:t xml:space="preserve"> в 201</w:t>
      </w:r>
      <w:r w:rsidR="00E3106D" w:rsidRPr="00906EA7">
        <w:rPr>
          <w:rFonts w:ascii="Times New Roman" w:eastAsia="Calibri" w:hAnsi="Times New Roman" w:cs="Times New Roman"/>
          <w:sz w:val="24"/>
        </w:rPr>
        <w:t>8</w:t>
      </w:r>
      <w:r w:rsidRPr="00906EA7">
        <w:rPr>
          <w:rFonts w:ascii="Times New Roman" w:eastAsia="Calibri" w:hAnsi="Times New Roman" w:cs="Times New Roman"/>
          <w:sz w:val="24"/>
        </w:rPr>
        <w:t xml:space="preserve"> году. Наибольшее количество вакансий имеется в отраслях «добыча полезных ископаемых», «обеспечение электрической энергией, газом и паром, кондиционирование воздуха», «строительство», «деятельность  по операциям  с недвижимым имуществом».</w:t>
      </w:r>
    </w:p>
    <w:p w:rsidR="00832937" w:rsidRPr="00906EA7" w:rsidRDefault="00832937" w:rsidP="0097253F">
      <w:pPr>
        <w:spacing w:after="0" w:line="240" w:lineRule="auto"/>
        <w:ind w:firstLine="708"/>
        <w:jc w:val="both"/>
        <w:rPr>
          <w:rFonts w:ascii="Times New Roman" w:eastAsia="Calibri" w:hAnsi="Times New Roman" w:cs="Times New Roman"/>
          <w:sz w:val="24"/>
        </w:rPr>
      </w:pPr>
      <w:r w:rsidRPr="00906EA7">
        <w:rPr>
          <w:rFonts w:ascii="Times New Roman" w:eastAsia="Calibri" w:hAnsi="Times New Roman" w:cs="Times New Roman"/>
          <w:sz w:val="24"/>
        </w:rPr>
        <w:t xml:space="preserve">Нагрузка незанятого населения  на 1 заявленную вакансию на конец года составляет </w:t>
      </w:r>
      <w:r w:rsidR="001D0516" w:rsidRPr="00906EA7">
        <w:rPr>
          <w:rFonts w:ascii="Times New Roman" w:eastAsia="Calibri" w:hAnsi="Times New Roman" w:cs="Times New Roman"/>
          <w:sz w:val="24"/>
        </w:rPr>
        <w:t>0,</w:t>
      </w:r>
      <w:r w:rsidR="005732DA" w:rsidRPr="00906EA7">
        <w:rPr>
          <w:rFonts w:ascii="Times New Roman" w:eastAsia="Calibri" w:hAnsi="Times New Roman" w:cs="Times New Roman"/>
          <w:sz w:val="24"/>
        </w:rPr>
        <w:t>06</w:t>
      </w:r>
      <w:r w:rsidRPr="00906EA7">
        <w:rPr>
          <w:rFonts w:ascii="Times New Roman" w:eastAsia="Calibri" w:hAnsi="Times New Roman" w:cs="Times New Roman"/>
          <w:sz w:val="24"/>
        </w:rPr>
        <w:t xml:space="preserve">. Наличие большого количества вакансий объясняется несоответствием имеющейся и </w:t>
      </w:r>
      <w:r w:rsidRPr="00906EA7">
        <w:rPr>
          <w:rFonts w:ascii="Times New Roman" w:eastAsia="Calibri" w:hAnsi="Times New Roman" w:cs="Times New Roman"/>
          <w:sz w:val="24"/>
        </w:rPr>
        <w:lastRenderedPageBreak/>
        <w:t>требуемой квалификации предлагаемой рабочей силы, что, в свою очередь, не позволяет сократить объем безработицы за счет предлагаемых вакансий.</w:t>
      </w:r>
    </w:p>
    <w:p w:rsidR="00832937" w:rsidRPr="00906EA7" w:rsidRDefault="00832937" w:rsidP="0097253F">
      <w:pPr>
        <w:spacing w:after="0" w:line="240" w:lineRule="auto"/>
        <w:ind w:firstLine="708"/>
        <w:jc w:val="both"/>
        <w:rPr>
          <w:rFonts w:ascii="Times New Roman" w:eastAsia="Calibri" w:hAnsi="Times New Roman" w:cs="Times New Roman"/>
          <w:sz w:val="24"/>
        </w:rPr>
      </w:pPr>
      <w:r w:rsidRPr="00906EA7">
        <w:rPr>
          <w:rFonts w:ascii="Times New Roman" w:eastAsia="Calibri" w:hAnsi="Times New Roman" w:cs="Times New Roman"/>
          <w:sz w:val="24"/>
        </w:rPr>
        <w:t>В целях снижения численности безработных службой з</w:t>
      </w:r>
      <w:r w:rsidR="006920F3" w:rsidRPr="00906EA7">
        <w:rPr>
          <w:rFonts w:ascii="Times New Roman" w:eastAsia="Calibri" w:hAnsi="Times New Roman" w:cs="Times New Roman"/>
          <w:sz w:val="24"/>
        </w:rPr>
        <w:t>анятости населения, совместно с</w:t>
      </w:r>
      <w:r w:rsidRPr="00906EA7">
        <w:rPr>
          <w:rFonts w:ascii="Times New Roman" w:eastAsia="Calibri" w:hAnsi="Times New Roman" w:cs="Times New Roman"/>
          <w:sz w:val="24"/>
        </w:rPr>
        <w:t xml:space="preserve"> органами местного самоуправления, ведется регулярное информирование населения о всевозможных формах трудоустройства:</w:t>
      </w:r>
    </w:p>
    <w:p w:rsidR="00832937" w:rsidRPr="00906EA7" w:rsidRDefault="00832937" w:rsidP="0097253F">
      <w:pPr>
        <w:spacing w:after="0" w:line="240" w:lineRule="auto"/>
        <w:ind w:firstLine="708"/>
        <w:jc w:val="both"/>
        <w:rPr>
          <w:rFonts w:ascii="Times New Roman" w:eastAsia="Calibri" w:hAnsi="Times New Roman" w:cs="Times New Roman"/>
          <w:sz w:val="24"/>
        </w:rPr>
      </w:pPr>
      <w:r w:rsidRPr="00906EA7">
        <w:rPr>
          <w:rFonts w:ascii="Times New Roman" w:eastAsia="Calibri" w:hAnsi="Times New Roman" w:cs="Times New Roman"/>
          <w:sz w:val="24"/>
        </w:rPr>
        <w:t>проводятся ярмарки вакансий рабочих и учебных мест;</w:t>
      </w:r>
    </w:p>
    <w:p w:rsidR="00832937" w:rsidRPr="00906EA7" w:rsidRDefault="00832937" w:rsidP="0097253F">
      <w:pPr>
        <w:spacing w:after="0" w:line="240" w:lineRule="auto"/>
        <w:ind w:firstLine="709"/>
        <w:jc w:val="both"/>
        <w:rPr>
          <w:rFonts w:ascii="Times New Roman" w:eastAsia="Calibri" w:hAnsi="Times New Roman" w:cs="Times New Roman"/>
          <w:sz w:val="24"/>
          <w:szCs w:val="20"/>
          <w:lang w:val="x-none" w:eastAsia="x-none"/>
        </w:rPr>
      </w:pPr>
      <w:r w:rsidRPr="00906EA7">
        <w:rPr>
          <w:rFonts w:ascii="Times New Roman" w:eastAsia="Calibri" w:hAnsi="Times New Roman" w:cs="Times New Roman"/>
          <w:sz w:val="24"/>
          <w:szCs w:val="20"/>
          <w:lang w:val="x-none" w:eastAsia="x-none"/>
        </w:rPr>
        <w:t>в бегущей строке местного телевидения</w:t>
      </w:r>
      <w:r w:rsidRPr="00906EA7">
        <w:rPr>
          <w:rFonts w:ascii="Times New Roman" w:eastAsia="Calibri" w:hAnsi="Times New Roman" w:cs="Times New Roman"/>
          <w:sz w:val="24"/>
          <w:szCs w:val="20"/>
          <w:lang w:eastAsia="x-none"/>
        </w:rPr>
        <w:t xml:space="preserve">, </w:t>
      </w:r>
      <w:r w:rsidRPr="00906EA7">
        <w:rPr>
          <w:rFonts w:ascii="Times New Roman" w:eastAsia="Calibri" w:hAnsi="Times New Roman" w:cs="Times New Roman"/>
          <w:sz w:val="24"/>
          <w:szCs w:val="20"/>
          <w:lang w:val="x-none" w:eastAsia="x-none"/>
        </w:rPr>
        <w:t xml:space="preserve">на официальном сайте администрации в сети «Интернет»  в средствах массовой </w:t>
      </w:r>
      <w:r w:rsidRPr="00906EA7">
        <w:rPr>
          <w:rFonts w:ascii="Times New Roman" w:eastAsia="Calibri" w:hAnsi="Times New Roman" w:cs="Times New Roman"/>
          <w:sz w:val="24"/>
          <w:szCs w:val="20"/>
          <w:lang w:eastAsia="x-none"/>
        </w:rPr>
        <w:t xml:space="preserve">печатной </w:t>
      </w:r>
      <w:r w:rsidRPr="00906EA7">
        <w:rPr>
          <w:rFonts w:ascii="Times New Roman" w:eastAsia="Calibri" w:hAnsi="Times New Roman" w:cs="Times New Roman"/>
          <w:sz w:val="24"/>
          <w:szCs w:val="20"/>
          <w:lang w:val="x-none" w:eastAsia="x-none"/>
        </w:rPr>
        <w:t>информации размещ</w:t>
      </w:r>
      <w:r w:rsidRPr="00906EA7">
        <w:rPr>
          <w:rFonts w:ascii="Times New Roman" w:eastAsia="Calibri" w:hAnsi="Times New Roman" w:cs="Times New Roman"/>
          <w:sz w:val="24"/>
          <w:szCs w:val="20"/>
          <w:lang w:eastAsia="x-none"/>
        </w:rPr>
        <w:t>аются сведения</w:t>
      </w:r>
      <w:r w:rsidRPr="00906EA7">
        <w:rPr>
          <w:rFonts w:ascii="Times New Roman" w:eastAsia="Calibri" w:hAnsi="Times New Roman" w:cs="Times New Roman"/>
          <w:sz w:val="24"/>
          <w:szCs w:val="20"/>
          <w:lang w:val="x-none" w:eastAsia="x-none"/>
        </w:rPr>
        <w:t xml:space="preserve">  по профобучению.</w:t>
      </w:r>
    </w:p>
    <w:p w:rsidR="00832937" w:rsidRPr="00906EA7" w:rsidRDefault="00832937"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 данным территориального органа </w:t>
      </w:r>
      <w:r w:rsidRPr="00906EA7">
        <w:rPr>
          <w:rFonts w:ascii="Times New Roman" w:eastAsia="Times New Roman" w:hAnsi="Times New Roman" w:cs="Times New Roman"/>
          <w:sz w:val="24"/>
          <w:szCs w:val="24"/>
          <w:lang w:eastAsia="ru-RU"/>
        </w:rPr>
        <w:t xml:space="preserve">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r w:rsidRPr="00906EA7">
        <w:rPr>
          <w:rFonts w:ascii="Times New Roman" w:eastAsia="Calibri Light" w:hAnsi="Times New Roman" w:cs="Times New Roman"/>
          <w:sz w:val="24"/>
          <w:szCs w:val="24"/>
        </w:rPr>
        <w:t>официально зарегистрированной просроченной задолженности по заработной плате по состоянию на 01.01.20</w:t>
      </w:r>
      <w:r w:rsidR="00E3106D" w:rsidRPr="00906EA7">
        <w:rPr>
          <w:rFonts w:ascii="Times New Roman" w:eastAsia="Calibri Light" w:hAnsi="Times New Roman" w:cs="Times New Roman"/>
          <w:sz w:val="24"/>
          <w:szCs w:val="24"/>
        </w:rPr>
        <w:t>20</w:t>
      </w:r>
      <w:r w:rsidRPr="00906EA7">
        <w:rPr>
          <w:rFonts w:ascii="Times New Roman" w:eastAsia="Calibri Light" w:hAnsi="Times New Roman" w:cs="Times New Roman"/>
          <w:sz w:val="24"/>
          <w:szCs w:val="24"/>
        </w:rPr>
        <w:t xml:space="preserve"> крупные и средние предприятия городского округа не имеют.</w:t>
      </w:r>
    </w:p>
    <w:p w:rsidR="005B5342" w:rsidRPr="00906EA7" w:rsidRDefault="00832937"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целях недопущения задолженности по заработной плате администрация города продолжает проводить еженедельный мониторинг за своевременностью выплаты заработной платы хозяйствующими субъектами. В охваченных мониторингом организациях по состоянию на 01.01.20</w:t>
      </w:r>
      <w:r w:rsidR="00E3106D" w:rsidRPr="00906EA7">
        <w:rPr>
          <w:rFonts w:ascii="Times New Roman" w:eastAsia="Calibri Light" w:hAnsi="Times New Roman" w:cs="Times New Roman"/>
          <w:sz w:val="24"/>
          <w:szCs w:val="24"/>
        </w:rPr>
        <w:t>20</w:t>
      </w:r>
      <w:r w:rsidRPr="00906EA7">
        <w:rPr>
          <w:rFonts w:ascii="Times New Roman" w:eastAsia="Calibri Light" w:hAnsi="Times New Roman" w:cs="Times New Roman"/>
          <w:sz w:val="24"/>
          <w:szCs w:val="24"/>
        </w:rPr>
        <w:t xml:space="preserve"> задолженности п</w:t>
      </w:r>
      <w:r w:rsidR="00F01FFC" w:rsidRPr="00906EA7">
        <w:rPr>
          <w:rFonts w:ascii="Times New Roman" w:eastAsia="Calibri Light" w:hAnsi="Times New Roman" w:cs="Times New Roman"/>
          <w:sz w:val="24"/>
          <w:szCs w:val="24"/>
        </w:rPr>
        <w:t>о заработной плате не выявлено.</w:t>
      </w:r>
    </w:p>
    <w:p w:rsidR="00274BC3" w:rsidRPr="00906EA7" w:rsidRDefault="00274BC3" w:rsidP="0097253F">
      <w:pPr>
        <w:spacing w:after="0" w:line="240" w:lineRule="auto"/>
        <w:ind w:firstLine="708"/>
        <w:rPr>
          <w:rFonts w:ascii="Times New Roman" w:hAnsi="Times New Roman"/>
          <w:sz w:val="24"/>
        </w:rPr>
      </w:pPr>
    </w:p>
    <w:p w:rsidR="00A37066" w:rsidRPr="00906EA7" w:rsidRDefault="00A37066" w:rsidP="0097253F">
      <w:pPr>
        <w:spacing w:after="0" w:line="240" w:lineRule="auto"/>
        <w:ind w:firstLine="708"/>
        <w:rPr>
          <w:rFonts w:ascii="Times New Roman" w:hAnsi="Times New Roman"/>
          <w:sz w:val="24"/>
        </w:rPr>
      </w:pPr>
      <w:r w:rsidRPr="00906EA7">
        <w:rPr>
          <w:rFonts w:ascii="Times New Roman" w:hAnsi="Times New Roman"/>
          <w:sz w:val="24"/>
        </w:rPr>
        <w:t>ЗДРАВООХРАНЕНИЕ</w:t>
      </w:r>
    </w:p>
    <w:p w:rsidR="00A1507A" w:rsidRPr="00906EA7" w:rsidRDefault="00A1507A" w:rsidP="0097253F">
      <w:pPr>
        <w:spacing w:after="0" w:line="240" w:lineRule="auto"/>
        <w:rPr>
          <w:rFonts w:ascii="Times New Roman" w:hAnsi="Times New Roman"/>
          <w:sz w:val="24"/>
        </w:rPr>
      </w:pPr>
    </w:p>
    <w:p w:rsidR="00FB387D" w:rsidRPr="00906EA7" w:rsidRDefault="00FB387D" w:rsidP="0097253F">
      <w:pPr>
        <w:pStyle w:val="paragraph"/>
        <w:shd w:val="clear" w:color="auto" w:fill="FFFFFF"/>
        <w:spacing w:before="0" w:beforeAutospacing="0" w:after="0" w:afterAutospacing="0"/>
        <w:ind w:firstLine="709"/>
        <w:jc w:val="both"/>
        <w:textAlignment w:val="baseline"/>
        <w:rPr>
          <w:rStyle w:val="normaltextrun"/>
        </w:rPr>
      </w:pPr>
      <w:r w:rsidRPr="00906EA7">
        <w:rPr>
          <w:rStyle w:val="normaltextrun"/>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FB387D" w:rsidRPr="00906EA7" w:rsidRDefault="00FB387D" w:rsidP="0097253F">
      <w:pPr>
        <w:pStyle w:val="paragraph"/>
        <w:shd w:val="clear" w:color="auto" w:fill="FFFFFF"/>
        <w:spacing w:before="0" w:beforeAutospacing="0" w:after="0" w:afterAutospacing="0"/>
        <w:ind w:firstLine="709"/>
        <w:jc w:val="both"/>
        <w:textAlignment w:val="baseline"/>
      </w:pPr>
      <w:r w:rsidRPr="00906EA7">
        <w:rPr>
          <w:rStyle w:val="normaltextrun"/>
        </w:rPr>
        <w:t>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 Организация и качество оказания услуг здравоохранения занимают важное место в социально-экономическом развитии Мегиона.</w:t>
      </w:r>
      <w:r w:rsidRPr="00906EA7">
        <w:rPr>
          <w:rStyle w:val="eop"/>
        </w:rPr>
        <w:t> </w:t>
      </w:r>
    </w:p>
    <w:p w:rsidR="00FB387D" w:rsidRPr="00906EA7" w:rsidRDefault="00FB387D" w:rsidP="0097253F">
      <w:pPr>
        <w:pStyle w:val="paragraph"/>
        <w:shd w:val="clear" w:color="auto" w:fill="FFFFFF"/>
        <w:spacing w:before="0" w:beforeAutospacing="0" w:after="0" w:afterAutospacing="0"/>
        <w:ind w:firstLine="709"/>
        <w:jc w:val="both"/>
        <w:textAlignment w:val="baseline"/>
      </w:pPr>
      <w:r w:rsidRPr="00906EA7">
        <w:rPr>
          <w:rStyle w:val="normaltextrun"/>
        </w:rPr>
        <w:t xml:space="preserve">В настоящее время, на территории городского округа город Мегион функционирует бюджетное учреждение Ханты-Мансийского автономного округа – Югры «Мегионская городская больница», которое является основным многопрофильным лечебно-диагностическим учреждением </w:t>
      </w:r>
      <w:r w:rsidRPr="00906EA7">
        <w:rPr>
          <w:rStyle w:val="contextualspellingandgrammarerror"/>
        </w:rPr>
        <w:t>города</w:t>
      </w:r>
      <w:r w:rsidRPr="00906EA7">
        <w:rPr>
          <w:rStyle w:val="normaltextrun"/>
        </w:rPr>
        <w:t> Мегиона и поселка городского типа Высокий (далее – пгт Высокий) и осуществляет следующие основные виды деятельности:</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первичная медико-санитарная помощь;</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специализированная медицинская помощь;</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скорая, в том числе скорая специализированная, медицинская помощь;</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паллиативная медицинская помощь;</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медицинская экспертиза;</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медицинские осмотры и медицинские освидетельствования;</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фармацевтическая деятельность;</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деятельность, связанная с оборотом наркотических средств, психотропных веществ и их прекурсоров;</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заготовка и хранение донорской крови и (или) ее компонентов.</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структуру    </w:t>
      </w:r>
      <w:r w:rsidRPr="00906EA7">
        <w:rPr>
          <w:rStyle w:val="spellingerror"/>
        </w:rPr>
        <w:t>Мегионской</w:t>
      </w:r>
      <w:r w:rsidRPr="00906EA7">
        <w:rPr>
          <w:rStyle w:val="normaltextrun"/>
        </w:rPr>
        <w:t> городской больницы входят городская поликлиника, детская поликлиника, амбулатория в </w:t>
      </w:r>
      <w:r w:rsidRPr="00906EA7">
        <w:rPr>
          <w:rStyle w:val="spellingerror"/>
        </w:rPr>
        <w:t>пгт Высокий</w:t>
      </w:r>
      <w:r w:rsidRPr="00906EA7">
        <w:rPr>
          <w:rStyle w:val="normaltextrun"/>
        </w:rPr>
        <w:t>, отделение медицинской реабилитации для детей, подразделения стационара – хирургический корпус, терапевтический корпус, детский больничный корпус, инфекционный корпус. Учреждение располагает мощностями вспомогательных структур: иммунологическая, клинико-диагностическая лаборатории, отделение функциональной диагностики, рентгенологическое, патологоанатомическое отделения, отделение переливания крови и отделение хоспис. Имеется автопарк на 25 транспортных единиц.</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sz w:val="18"/>
          <w:szCs w:val="18"/>
        </w:rPr>
      </w:pPr>
      <w:r w:rsidRPr="00906EA7">
        <w:rPr>
          <w:rStyle w:val="normaltextrun"/>
        </w:rPr>
        <w:lastRenderedPageBreak/>
        <w:t>Помимо бюджетного учреждения «</w:t>
      </w:r>
      <w:r w:rsidRPr="00906EA7">
        <w:rPr>
          <w:rStyle w:val="spellingerror"/>
        </w:rPr>
        <w:t>Мегионская</w:t>
      </w:r>
      <w:r w:rsidRPr="00906EA7">
        <w:rPr>
          <w:rStyle w:val="normaltextrun"/>
        </w:rPr>
        <w:t> городская больница», на территории городского округа город Мегион услуги здравоохранения оказывают автономное учреждение Ханты-Мансийского автономного округа – Югры «Мегионская городская стоматологическая поликлиника» и бюджетное учреждение Ханты-Мансийского автономного округа – Югры «Психоневрологическая больница имени Святой преподобномученицы Елизаветы». Также услуги здравоохранения широкого спектра населению оказывают организации здравоохранения частной формы собственности.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Мощность амбулаторно-поликлинических учреждений города составляет 1 287 посещений в смену. Мощность медицинских учреждений города, оказывающих стационарную помощь, составляет 401 койка. Фактическая обеспеченность койками круглосуточного стационара в 2019 году составила 55,3% от нормативного значения, поликлиническими мощностями - 131,8%.</w:t>
      </w:r>
      <w:r w:rsidRPr="00906EA7">
        <w:rPr>
          <w:rStyle w:val="eop"/>
        </w:rPr>
        <w:t> </w:t>
      </w:r>
    </w:p>
    <w:p w:rsidR="00FB387D" w:rsidRPr="00906EA7" w:rsidRDefault="00FB387D" w:rsidP="0097253F">
      <w:pPr>
        <w:pStyle w:val="paragraph"/>
        <w:spacing w:before="0" w:beforeAutospacing="0" w:after="0" w:afterAutospacing="0"/>
        <w:ind w:right="-15" w:firstLine="705"/>
        <w:jc w:val="both"/>
        <w:textAlignment w:val="baseline"/>
        <w:rPr>
          <w:rFonts w:ascii="Segoe UI" w:hAnsi="Segoe UI" w:cs="Segoe UI"/>
          <w:sz w:val="18"/>
          <w:szCs w:val="18"/>
        </w:rPr>
      </w:pPr>
      <w:r w:rsidRPr="00906EA7">
        <w:rPr>
          <w:rStyle w:val="normaltextrun"/>
        </w:rPr>
        <w:t>В учреждениях трудится 1 573 чел., в том числе 245 врачей, 740 человек – средний медицинский персонал.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Всего за 2019 год было зарегистрировано 596,8 тысяч посещений в общедоступные амбулаторно-поликлинические учреждения.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Проведены 3 522 операции в амбулаторно-поликлинических условиях, из них 906 - в условиях дневного стационара.</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Во всех организациях сферы здравоохранения, расположенных на территории городского округа город Мегион, функционируют медицинские информационные системы, в которые вносятся электронные медицинские карты пациентов.</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shd w:val="clear" w:color="auto" w:fill="FFFFFF"/>
        </w:rPr>
        <w:t>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sidRPr="00906EA7">
        <w:rPr>
          <w:rStyle w:val="normaltextrun"/>
          <w:shd w:val="clear" w:color="auto" w:fill="FFFFFF"/>
          <w:lang w:val="en-US"/>
        </w:rPr>
        <w:t>Android</w:t>
      </w:r>
      <w:r w:rsidRPr="00906EA7">
        <w:rPr>
          <w:rStyle w:val="normaltextrun"/>
          <w:shd w:val="clear" w:color="auto" w:fill="FFFFFF"/>
        </w:rPr>
        <w:t>, </w:t>
      </w:r>
      <w:r w:rsidRPr="00906EA7">
        <w:rPr>
          <w:rStyle w:val="normaltextrun"/>
          <w:shd w:val="clear" w:color="auto" w:fill="FFFFFF"/>
          <w:lang w:val="en-US"/>
        </w:rPr>
        <w:t>IOS</w:t>
      </w:r>
      <w:r w:rsidRPr="00906EA7">
        <w:rPr>
          <w:rStyle w:val="normaltextrun"/>
          <w:shd w:val="clear" w:color="auto" w:fill="FFFFFF"/>
        </w:rPr>
        <w:t> в приложениях </w:t>
      </w:r>
      <w:r w:rsidRPr="00906EA7">
        <w:rPr>
          <w:rStyle w:val="normaltextrun"/>
          <w:shd w:val="clear" w:color="auto" w:fill="FFFFFF"/>
          <w:lang w:val="en-US"/>
        </w:rPr>
        <w:t>Google</w:t>
      </w:r>
      <w:r w:rsidRPr="00906EA7">
        <w:rPr>
          <w:rStyle w:val="normaltextrun"/>
          <w:shd w:val="clear" w:color="auto" w:fill="FFFFFF"/>
        </w:rPr>
        <w:t> </w:t>
      </w:r>
      <w:r w:rsidRPr="00906EA7">
        <w:rPr>
          <w:rStyle w:val="normaltextrun"/>
          <w:shd w:val="clear" w:color="auto" w:fill="FFFFFF"/>
          <w:lang w:val="en-US"/>
        </w:rPr>
        <w:t>Play</w:t>
      </w:r>
      <w:r w:rsidRPr="00906EA7">
        <w:rPr>
          <w:rStyle w:val="normaltextrun"/>
          <w:shd w:val="clear" w:color="auto" w:fill="FFFFFF"/>
        </w:rPr>
        <w:t>, </w:t>
      </w:r>
      <w:r w:rsidRPr="00906EA7">
        <w:rPr>
          <w:rStyle w:val="normaltextrun"/>
          <w:shd w:val="clear" w:color="auto" w:fill="FFFFFF"/>
          <w:lang w:val="en-US"/>
        </w:rPr>
        <w:t>App</w:t>
      </w:r>
      <w:r w:rsidRPr="00906EA7">
        <w:rPr>
          <w:rStyle w:val="normaltextrun"/>
          <w:shd w:val="clear" w:color="auto" w:fill="FFFFFF"/>
        </w:rPr>
        <w:t> </w:t>
      </w:r>
      <w:r w:rsidRPr="00906EA7">
        <w:rPr>
          <w:rStyle w:val="normaltextrun"/>
          <w:shd w:val="clear" w:color="auto" w:fill="FFFFFF"/>
          <w:lang w:val="en-US"/>
        </w:rPr>
        <w:t>Store</w:t>
      </w:r>
      <w:r w:rsidRPr="00906EA7">
        <w:rPr>
          <w:rStyle w:val="normaltextrun"/>
          <w:shd w:val="clear" w:color="auto" w:fill="FFFFFF"/>
        </w:rPr>
        <w:t>).</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Показатели обеспеченности скорой медицинской помощью, предоставления амбулаторных и стационарных услуг соответствуют программе государственных гарантий в сфере медицинского обслуживания населения.</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После капитального ремонта здания Мегионской городской больницы №2 в августе 2019 года в пгт Высокий открыты гериатрическое отделение и терапевтический дневной стационар.</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отчетном периоде на базе реабилитационного отделения детской больницы «Жемчужинка» открыт </w:t>
      </w:r>
      <w:r w:rsidRPr="00906EA7">
        <w:rPr>
          <w:rStyle w:val="spellingerror"/>
        </w:rPr>
        <w:t>гемодиализный</w:t>
      </w:r>
      <w:r w:rsidRPr="00906EA7">
        <w:rPr>
          <w:rStyle w:val="normaltextrun"/>
        </w:rPr>
        <w:t> центр. Услугами центра в городе Мегионе смогут пользоваться не только пациенты, проживающие в городе, но и в городах Покачи, Лангепас.</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2019 году проведены организационно-кадровые мероприятия в организациях сферы здравоохранения, расположенных на территории городского округа город Мегион. Проведенные мероприятия положительно повлияли на качество оказываемой медицинской помощи жителям </w:t>
      </w:r>
      <w:r w:rsidRPr="00906EA7">
        <w:rPr>
          <w:rStyle w:val="spellingerror"/>
        </w:rPr>
        <w:t>пгт Высокий</w:t>
      </w:r>
      <w:r w:rsidRPr="00906EA7">
        <w:rPr>
          <w:rStyle w:val="normaltextrun"/>
        </w:rPr>
        <w:t>.</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четыре раза сократилось   время отсутствия бригады скорой медицинской помощи в </w:t>
      </w:r>
      <w:r w:rsidRPr="00906EA7">
        <w:rPr>
          <w:rStyle w:val="spellingerror"/>
        </w:rPr>
        <w:t>пгт</w:t>
      </w:r>
      <w:r w:rsidRPr="00906EA7">
        <w:rPr>
          <w:rStyle w:val="normaltextrun"/>
        </w:rPr>
        <w:t xml:space="preserve"> Высокий.</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амбулатории </w:t>
      </w:r>
      <w:r w:rsidRPr="00906EA7">
        <w:rPr>
          <w:rStyle w:val="spellingerror"/>
        </w:rPr>
        <w:t>пгт</w:t>
      </w:r>
      <w:r w:rsidRPr="00906EA7">
        <w:rPr>
          <w:rStyle w:val="normaltextrun"/>
        </w:rPr>
        <w:t xml:space="preserve"> Высокий сформирован кабинет неотложной медицинской помощи для оказания первичной медико-санитарной помощи фельдшером, который укомплектован всем необходимым медицинским оборудованием.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Значительно улучшена лабораторная диагностика, увеличена численность медицинского персонала во врачебной амбулатории </w:t>
      </w:r>
      <w:r w:rsidRPr="00906EA7">
        <w:rPr>
          <w:rStyle w:val="spellingerror"/>
        </w:rPr>
        <w:t>пгт Высокий</w:t>
      </w:r>
      <w:r w:rsidRPr="00906EA7">
        <w:rPr>
          <w:rStyle w:val="normaltextrun"/>
        </w:rPr>
        <w:t>.</w:t>
      </w:r>
      <w:r w:rsidRPr="00906EA7">
        <w:rPr>
          <w:rStyle w:val="eop"/>
        </w:rPr>
        <w:t> </w:t>
      </w:r>
    </w:p>
    <w:p w:rsidR="00315137" w:rsidRPr="00906EA7" w:rsidRDefault="00FB387D" w:rsidP="0097253F">
      <w:pPr>
        <w:pStyle w:val="paragraph"/>
        <w:shd w:val="clear" w:color="auto" w:fill="FFFFFF"/>
        <w:spacing w:before="0" w:beforeAutospacing="0" w:after="0" w:afterAutospacing="0"/>
        <w:ind w:firstLine="709"/>
        <w:jc w:val="both"/>
        <w:textAlignment w:val="baseline"/>
        <w:rPr>
          <w:rStyle w:val="eop"/>
        </w:rPr>
      </w:pPr>
      <w:r w:rsidRPr="00906EA7">
        <w:rPr>
          <w:rStyle w:val="eop"/>
        </w:rPr>
        <w:lastRenderedPageBreak/>
        <w:t> </w:t>
      </w:r>
    </w:p>
    <w:p w:rsidR="00A37066" w:rsidRPr="00906EA7" w:rsidRDefault="00A1507A" w:rsidP="0097253F">
      <w:pPr>
        <w:pStyle w:val="ae"/>
        <w:tabs>
          <w:tab w:val="left" w:pos="0"/>
        </w:tabs>
        <w:spacing w:before="0" w:beforeAutospacing="0" w:after="0" w:afterAutospacing="0"/>
        <w:contextualSpacing/>
        <w:rPr>
          <w:bCs/>
        </w:rPr>
      </w:pPr>
      <w:r w:rsidRPr="00906EA7">
        <w:rPr>
          <w:bCs/>
        </w:rPr>
        <w:tab/>
      </w:r>
      <w:r w:rsidR="00A37066" w:rsidRPr="00906EA7">
        <w:rPr>
          <w:bCs/>
        </w:rPr>
        <w:t>ОБРАЗОВАНИЕ</w:t>
      </w:r>
    </w:p>
    <w:p w:rsidR="00A1507A" w:rsidRPr="00906EA7" w:rsidRDefault="00A1507A" w:rsidP="0097253F">
      <w:pPr>
        <w:pStyle w:val="ae"/>
        <w:tabs>
          <w:tab w:val="left" w:pos="426"/>
        </w:tabs>
        <w:spacing w:before="0" w:beforeAutospacing="0" w:after="0" w:afterAutospacing="0"/>
        <w:contextualSpacing/>
        <w:rPr>
          <w:bCs/>
        </w:rPr>
      </w:pP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городском округе образовательные услуги предоставляют:</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13 муниципальных дошкольных образовательных организаций;</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2 структурны</w:t>
      </w:r>
      <w:r w:rsidR="0072357A" w:rsidRPr="00906EA7">
        <w:rPr>
          <w:rFonts w:ascii="Times New Roman" w:hAnsi="Times New Roman" w:cs="Times New Roman"/>
          <w:sz w:val="24"/>
          <w:szCs w:val="24"/>
        </w:rPr>
        <w:t>х</w:t>
      </w:r>
      <w:r w:rsidRPr="00906EA7">
        <w:rPr>
          <w:rFonts w:ascii="Times New Roman" w:hAnsi="Times New Roman" w:cs="Times New Roman"/>
          <w:sz w:val="24"/>
          <w:szCs w:val="24"/>
        </w:rPr>
        <w:t xml:space="preserve"> подразделения дошкольного образования, входящие в состав  общеобразовательных учреждений;</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3 дошкольных группы по присмотру и уходу за детьми дошкольного возраста в двух общеобразовательных учреждениях;</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1 негосударственная образовательная организация (частный детский сад);</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7 муниципальных общеобразовательных организаций; </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2 организации дополнительного образования детей в сфере физической культуры и спорта и 3 в сфере культуры; </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Образовательные услуги также предоставляются двумя региональными учреждениями: казенным общеобразовательным учреждением Ханты-Мансийского автономного округа – Югры «Мегионская школа для обучающихся с ограниченными возможностями здоровья» и бюджетное учреждение профессионального образования Ханты-Мансийского автономного округа – Югры «Мегонский политехнический колледж». </w:t>
      </w:r>
    </w:p>
    <w:p w:rsidR="00E1069E" w:rsidRPr="00906EA7" w:rsidRDefault="00E1069E" w:rsidP="0097253F">
      <w:pPr>
        <w:spacing w:after="0" w:line="240" w:lineRule="auto"/>
        <w:ind w:firstLine="709"/>
        <w:jc w:val="both"/>
        <w:rPr>
          <w:rFonts w:ascii="Times New Roman" w:hAnsi="Times New Roman" w:cs="Times New Roman"/>
          <w:sz w:val="24"/>
          <w:szCs w:val="24"/>
        </w:rPr>
      </w:pP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Дошкольное образование</w:t>
      </w:r>
    </w:p>
    <w:p w:rsidR="00A37066" w:rsidRPr="00906EA7" w:rsidRDefault="00A37066" w:rsidP="0097253F">
      <w:pPr>
        <w:spacing w:after="0" w:line="240" w:lineRule="auto"/>
        <w:ind w:firstLine="709"/>
        <w:jc w:val="both"/>
        <w:rPr>
          <w:rFonts w:ascii="Times New Roman" w:hAnsi="Times New Roman" w:cs="Times New Roman"/>
          <w:sz w:val="24"/>
          <w:szCs w:val="24"/>
        </w:rPr>
      </w:pP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Численность детей в возрасте 1-</w:t>
      </w:r>
      <w:r w:rsidR="000012E9" w:rsidRPr="00906EA7">
        <w:rPr>
          <w:rFonts w:ascii="Times New Roman" w:hAnsi="Times New Roman" w:cs="Times New Roman"/>
          <w:sz w:val="24"/>
          <w:szCs w:val="24"/>
        </w:rPr>
        <w:t>6</w:t>
      </w:r>
      <w:r w:rsidRPr="00906EA7">
        <w:rPr>
          <w:rFonts w:ascii="Times New Roman" w:hAnsi="Times New Roman" w:cs="Times New Roman"/>
          <w:sz w:val="24"/>
          <w:szCs w:val="24"/>
        </w:rPr>
        <w:t> лет, получающих дошкольную образовательную услугу и (или) услугу по их содержанию в дошкольных образовательных организациях</w:t>
      </w:r>
      <w:r w:rsidR="00E1069E" w:rsidRPr="00906EA7">
        <w:rPr>
          <w:rFonts w:ascii="Times New Roman" w:hAnsi="Times New Roman" w:cs="Times New Roman"/>
          <w:sz w:val="24"/>
          <w:szCs w:val="24"/>
        </w:rPr>
        <w:t>,</w:t>
      </w:r>
      <w:r w:rsidRPr="00906EA7">
        <w:rPr>
          <w:rFonts w:ascii="Times New Roman" w:hAnsi="Times New Roman" w:cs="Times New Roman"/>
          <w:sz w:val="24"/>
          <w:szCs w:val="24"/>
        </w:rPr>
        <w:t xml:space="preserve"> составила 3 </w:t>
      </w:r>
      <w:r w:rsidR="00EA1744" w:rsidRPr="00906EA7">
        <w:rPr>
          <w:rFonts w:ascii="Times New Roman" w:hAnsi="Times New Roman" w:cs="Times New Roman"/>
          <w:sz w:val="24"/>
          <w:szCs w:val="24"/>
        </w:rPr>
        <w:t>706</w:t>
      </w:r>
      <w:r w:rsidRPr="00906EA7">
        <w:rPr>
          <w:rFonts w:ascii="Times New Roman" w:hAnsi="Times New Roman" w:cs="Times New Roman"/>
          <w:sz w:val="24"/>
          <w:szCs w:val="24"/>
        </w:rPr>
        <w:t>, из них:</w:t>
      </w: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муниципальных дошкольных</w:t>
      </w:r>
      <w:r w:rsidR="000012E9" w:rsidRPr="00906EA7">
        <w:rPr>
          <w:rFonts w:ascii="Times New Roman" w:hAnsi="Times New Roman" w:cs="Times New Roman"/>
          <w:sz w:val="24"/>
          <w:szCs w:val="24"/>
        </w:rPr>
        <w:t xml:space="preserve"> образовательных организациях 31</w:t>
      </w:r>
      <w:r w:rsidR="00EA1744" w:rsidRPr="00906EA7">
        <w:rPr>
          <w:rFonts w:ascii="Times New Roman" w:hAnsi="Times New Roman" w:cs="Times New Roman"/>
          <w:sz w:val="24"/>
          <w:szCs w:val="24"/>
        </w:rPr>
        <w:t>6</w:t>
      </w:r>
      <w:r w:rsidR="000012E9" w:rsidRPr="00906EA7">
        <w:rPr>
          <w:rFonts w:ascii="Times New Roman" w:hAnsi="Times New Roman" w:cs="Times New Roman"/>
          <w:sz w:val="24"/>
          <w:szCs w:val="24"/>
        </w:rPr>
        <w:t>3 ребенка</w:t>
      </w:r>
      <w:r w:rsidRPr="00906EA7">
        <w:rPr>
          <w:rFonts w:ascii="Times New Roman" w:hAnsi="Times New Roman" w:cs="Times New Roman"/>
          <w:sz w:val="24"/>
          <w:szCs w:val="24"/>
        </w:rPr>
        <w:t>;</w:t>
      </w: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структурных подразделениях при общеобразовательных организациях </w:t>
      </w:r>
      <w:r w:rsidR="008D61D5" w:rsidRPr="00906EA7">
        <w:rPr>
          <w:rFonts w:ascii="Times New Roman" w:hAnsi="Times New Roman" w:cs="Times New Roman"/>
          <w:sz w:val="24"/>
          <w:szCs w:val="24"/>
        </w:rPr>
        <w:t>50</w:t>
      </w:r>
      <w:r w:rsidR="00EA1744" w:rsidRPr="00906EA7">
        <w:rPr>
          <w:rFonts w:ascii="Times New Roman" w:hAnsi="Times New Roman" w:cs="Times New Roman"/>
          <w:sz w:val="24"/>
          <w:szCs w:val="24"/>
        </w:rPr>
        <w:t>5</w:t>
      </w:r>
      <w:r w:rsidRPr="00906EA7">
        <w:rPr>
          <w:rFonts w:ascii="Times New Roman" w:hAnsi="Times New Roman" w:cs="Times New Roman"/>
          <w:sz w:val="24"/>
          <w:szCs w:val="24"/>
        </w:rPr>
        <w:t xml:space="preserve"> </w:t>
      </w:r>
      <w:r w:rsidR="008D61D5" w:rsidRPr="00906EA7">
        <w:rPr>
          <w:rFonts w:ascii="Times New Roman" w:hAnsi="Times New Roman" w:cs="Times New Roman"/>
          <w:sz w:val="24"/>
          <w:szCs w:val="24"/>
        </w:rPr>
        <w:t>детей</w:t>
      </w:r>
      <w:r w:rsidRPr="00906EA7">
        <w:rPr>
          <w:rFonts w:ascii="Times New Roman" w:hAnsi="Times New Roman" w:cs="Times New Roman"/>
          <w:sz w:val="24"/>
          <w:szCs w:val="24"/>
        </w:rPr>
        <w:t>;</w:t>
      </w: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пришкольных группах </w:t>
      </w:r>
      <w:r w:rsidR="008D61D5" w:rsidRPr="00906EA7">
        <w:rPr>
          <w:rFonts w:ascii="Times New Roman" w:hAnsi="Times New Roman" w:cs="Times New Roman"/>
          <w:sz w:val="24"/>
          <w:szCs w:val="24"/>
        </w:rPr>
        <w:t>38</w:t>
      </w:r>
      <w:r w:rsidRPr="00906EA7">
        <w:rPr>
          <w:rFonts w:ascii="Times New Roman" w:hAnsi="Times New Roman" w:cs="Times New Roman"/>
          <w:sz w:val="24"/>
          <w:szCs w:val="24"/>
        </w:rPr>
        <w:t xml:space="preserve"> детей.</w:t>
      </w:r>
    </w:p>
    <w:p w:rsidR="00A37066" w:rsidRPr="00906EA7" w:rsidRDefault="00A37066" w:rsidP="0097253F">
      <w:pPr>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Количество мест и численность воспитанников в дошкольных образовательных организациях</w:t>
      </w:r>
    </w:p>
    <w:p w:rsidR="00A37066" w:rsidRPr="00906EA7" w:rsidRDefault="00A37066" w:rsidP="0097253F">
      <w:pPr>
        <w:widowControl w:val="0"/>
        <w:spacing w:after="0" w:line="240" w:lineRule="auto"/>
        <w:jc w:val="center"/>
        <w:rPr>
          <w:rFonts w:ascii="Times New Roman" w:hAnsi="Times New Roman" w:cs="Times New Roman"/>
          <w:sz w:val="24"/>
          <w:szCs w:val="24"/>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1274"/>
        <w:gridCol w:w="1275"/>
        <w:gridCol w:w="1275"/>
        <w:gridCol w:w="1275"/>
      </w:tblGrid>
      <w:tr w:rsidR="000012E9" w:rsidRPr="00906EA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tcPr>
          <w:p w:rsidR="000012E9" w:rsidRPr="00906EA7" w:rsidRDefault="000012E9" w:rsidP="0097253F">
            <w:pPr>
              <w:widowControl w:val="0"/>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 </w:t>
            </w:r>
          </w:p>
          <w:p w:rsidR="000012E9" w:rsidRPr="00906EA7" w:rsidRDefault="006920F3"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w:t>
            </w:r>
            <w:r w:rsidR="000012E9" w:rsidRPr="00906EA7">
              <w:rPr>
                <w:rFonts w:ascii="Times New Roman" w:hAnsi="Times New Roman" w:cs="Times New Roman"/>
                <w:sz w:val="20"/>
                <w:szCs w:val="20"/>
              </w:rPr>
              <w:t>2018</w:t>
            </w:r>
          </w:p>
        </w:tc>
      </w:tr>
      <w:tr w:rsidR="000012E9" w:rsidRPr="00906EA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Количество мест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w:t>
            </w:r>
            <w:r w:rsidR="008D14E9" w:rsidRPr="00906EA7">
              <w:rPr>
                <w:rFonts w:ascii="Times New Roman" w:hAnsi="Times New Roman" w:cs="Times New Roman"/>
                <w:sz w:val="24"/>
                <w:szCs w:val="24"/>
              </w:rPr>
              <w:t>9</w:t>
            </w:r>
            <w:r w:rsidRPr="00906EA7">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w:t>
            </w:r>
            <w:r w:rsidR="008D14E9" w:rsidRPr="00906EA7">
              <w:rPr>
                <w:rFonts w:ascii="Times New Roman" w:hAnsi="Times New Roman" w:cs="Times New Roman"/>
                <w:sz w:val="24"/>
                <w:szCs w:val="24"/>
              </w:rPr>
              <w:t>96</w:t>
            </w:r>
            <w:r w:rsidRPr="00906EA7">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0012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w:t>
            </w:r>
            <w:r w:rsidR="008D14E9" w:rsidRPr="00906EA7">
              <w:rPr>
                <w:rFonts w:ascii="Times New Roman" w:hAnsi="Times New Roman" w:cs="Times New Roman"/>
                <w:sz w:val="24"/>
                <w:szCs w:val="24"/>
              </w:rPr>
              <w:t>772</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95,2</w:t>
            </w:r>
          </w:p>
        </w:tc>
      </w:tr>
      <w:tr w:rsidR="000012E9" w:rsidRPr="00906EA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Количество детей списочного состава, человек</w:t>
            </w:r>
            <w:r w:rsidRPr="00906EA7">
              <w:rPr>
                <w:rFonts w:ascii="Times New Roman" w:hAnsi="Times New Roman" w:cs="Times New Roman"/>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820591"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3884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820591"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3875</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820591"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3706</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6028C6"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w:t>
            </w:r>
            <w:r w:rsidR="008D14E9" w:rsidRPr="00906EA7">
              <w:rPr>
                <w:rFonts w:ascii="Times New Roman" w:hAnsi="Times New Roman" w:cs="Times New Roman"/>
                <w:sz w:val="24"/>
                <w:szCs w:val="24"/>
              </w:rPr>
              <w:t>5</w:t>
            </w:r>
            <w:r w:rsidRPr="00906EA7">
              <w:rPr>
                <w:rFonts w:ascii="Times New Roman" w:hAnsi="Times New Roman" w:cs="Times New Roman"/>
                <w:sz w:val="24"/>
                <w:szCs w:val="24"/>
              </w:rPr>
              <w:t>,</w:t>
            </w:r>
            <w:r w:rsidR="00820591" w:rsidRPr="00906EA7">
              <w:rPr>
                <w:rFonts w:ascii="Times New Roman" w:hAnsi="Times New Roman" w:cs="Times New Roman"/>
                <w:sz w:val="24"/>
                <w:szCs w:val="24"/>
              </w:rPr>
              <w:t>6</w:t>
            </w:r>
          </w:p>
        </w:tc>
      </w:tr>
      <w:tr w:rsidR="000012E9" w:rsidRPr="00906EA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Число состоящих в очереди на получение мест в детском дошкольном учреждении, человек</w:t>
            </w:r>
          </w:p>
        </w:tc>
        <w:tc>
          <w:tcPr>
            <w:tcW w:w="1274"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977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559</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519</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92,8</w:t>
            </w:r>
          </w:p>
        </w:tc>
      </w:tr>
    </w:tbl>
    <w:p w:rsidR="00A37066" w:rsidRPr="00906EA7" w:rsidRDefault="00A37066" w:rsidP="0097253F">
      <w:pPr>
        <w:widowControl w:val="0"/>
        <w:spacing w:after="0" w:line="240" w:lineRule="auto"/>
        <w:ind w:firstLine="709"/>
        <w:jc w:val="both"/>
        <w:rPr>
          <w:rFonts w:ascii="Times New Roman" w:hAnsi="Times New Roman" w:cs="Times New Roman"/>
          <w:bCs/>
          <w:sz w:val="24"/>
          <w:szCs w:val="24"/>
        </w:rPr>
      </w:pPr>
    </w:p>
    <w:p w:rsidR="00A37066" w:rsidRPr="00906EA7" w:rsidRDefault="00A37066" w:rsidP="0097253F">
      <w:pPr>
        <w:spacing w:after="0" w:line="240" w:lineRule="auto"/>
        <w:ind w:firstLine="708"/>
        <w:jc w:val="both"/>
        <w:rPr>
          <w:rFonts w:ascii="Times New Roman" w:hAnsi="Times New Roman" w:cs="Times New Roman"/>
          <w:bCs/>
          <w:sz w:val="24"/>
          <w:szCs w:val="24"/>
        </w:rPr>
      </w:pPr>
      <w:r w:rsidRPr="00906EA7">
        <w:rPr>
          <w:rFonts w:ascii="Times New Roman" w:hAnsi="Times New Roman" w:cs="Times New Roman"/>
          <w:bCs/>
          <w:sz w:val="24"/>
          <w:szCs w:val="24"/>
        </w:rPr>
        <w:t xml:space="preserve">Численность детей в возрасте 1-6 лет, по данным </w:t>
      </w:r>
      <w:r w:rsidRPr="00906EA7">
        <w:rPr>
          <w:rFonts w:ascii="Times New Roman" w:eastAsia="Times New Roman" w:hAnsi="Times New Roman" w:cs="Times New Roman"/>
          <w:sz w:val="24"/>
          <w:szCs w:val="24"/>
          <w:lang w:eastAsia="ru-RU"/>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r w:rsidRPr="00906EA7">
        <w:rPr>
          <w:rFonts w:ascii="Times New Roman" w:hAnsi="Times New Roman" w:cs="Times New Roman"/>
          <w:bCs/>
          <w:sz w:val="24"/>
          <w:szCs w:val="24"/>
        </w:rPr>
        <w:t xml:space="preserve"> составляет </w:t>
      </w:r>
      <w:r w:rsidR="006028C6" w:rsidRPr="00906EA7">
        <w:rPr>
          <w:rFonts w:ascii="Times New Roman" w:hAnsi="Times New Roman" w:cs="Times New Roman"/>
          <w:bCs/>
          <w:sz w:val="24"/>
          <w:szCs w:val="24"/>
        </w:rPr>
        <w:t>5074</w:t>
      </w:r>
      <w:r w:rsidRPr="00906EA7">
        <w:rPr>
          <w:rFonts w:ascii="Times New Roman" w:hAnsi="Times New Roman" w:cs="Times New Roman"/>
          <w:bCs/>
          <w:sz w:val="24"/>
          <w:szCs w:val="24"/>
        </w:rPr>
        <w:t xml:space="preserve"> человек</w:t>
      </w:r>
      <w:r w:rsidR="006028C6" w:rsidRPr="00906EA7">
        <w:rPr>
          <w:rFonts w:ascii="Times New Roman" w:hAnsi="Times New Roman" w:cs="Times New Roman"/>
          <w:bCs/>
          <w:sz w:val="24"/>
          <w:szCs w:val="24"/>
        </w:rPr>
        <w:t>а</w:t>
      </w:r>
      <w:r w:rsidRPr="00906EA7">
        <w:rPr>
          <w:rFonts w:ascii="Times New Roman" w:hAnsi="Times New Roman" w:cs="Times New Roman"/>
          <w:bCs/>
          <w:sz w:val="24"/>
          <w:szCs w:val="24"/>
        </w:rPr>
        <w:t xml:space="preserve">. </w:t>
      </w:r>
    </w:p>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hAnsi="Times New Roman" w:cs="Times New Roman"/>
          <w:bCs/>
          <w:sz w:val="24"/>
          <w:szCs w:val="24"/>
        </w:rPr>
        <w:t xml:space="preserve">На </w:t>
      </w:r>
      <w:r w:rsidR="008D14E9" w:rsidRPr="00906EA7">
        <w:rPr>
          <w:rFonts w:ascii="Times New Roman" w:hAnsi="Times New Roman" w:cs="Times New Roman"/>
          <w:bCs/>
          <w:sz w:val="24"/>
          <w:szCs w:val="24"/>
        </w:rPr>
        <w:t>7,16</w:t>
      </w:r>
      <w:r w:rsidRPr="00906EA7">
        <w:rPr>
          <w:rFonts w:ascii="Times New Roman" w:hAnsi="Times New Roman" w:cs="Times New Roman"/>
          <w:bCs/>
          <w:sz w:val="24"/>
          <w:szCs w:val="24"/>
        </w:rPr>
        <w:t>% сократил</w:t>
      </w:r>
      <w:r w:rsidR="00BA3293" w:rsidRPr="00906EA7">
        <w:rPr>
          <w:rFonts w:ascii="Times New Roman" w:hAnsi="Times New Roman" w:cs="Times New Roman"/>
          <w:bCs/>
          <w:sz w:val="24"/>
          <w:szCs w:val="24"/>
        </w:rPr>
        <w:t>о</w:t>
      </w:r>
      <w:r w:rsidRPr="00906EA7">
        <w:rPr>
          <w:rFonts w:ascii="Times New Roman" w:hAnsi="Times New Roman" w:cs="Times New Roman"/>
          <w:bCs/>
          <w:sz w:val="24"/>
          <w:szCs w:val="24"/>
        </w:rPr>
        <w:t xml:space="preserve">сь </w:t>
      </w:r>
      <w:r w:rsidRPr="00906EA7">
        <w:rPr>
          <w:rFonts w:ascii="Times New Roman" w:eastAsia="Times New Roman" w:hAnsi="Times New Roman" w:cs="Times New Roman"/>
          <w:sz w:val="24"/>
          <w:szCs w:val="24"/>
          <w:lang w:eastAsia="ru-RU"/>
        </w:rPr>
        <w:t xml:space="preserve">число состоящих в очереди на получение мест в детском дошкольном учреждении и  составило </w:t>
      </w:r>
      <w:r w:rsidR="008D14E9" w:rsidRPr="00906EA7">
        <w:rPr>
          <w:rFonts w:ascii="Times New Roman" w:eastAsia="Times New Roman" w:hAnsi="Times New Roman" w:cs="Times New Roman"/>
          <w:sz w:val="24"/>
          <w:szCs w:val="24"/>
          <w:lang w:eastAsia="ru-RU"/>
        </w:rPr>
        <w:t>519</w:t>
      </w:r>
      <w:r w:rsidRPr="00906EA7">
        <w:rPr>
          <w:rFonts w:ascii="Times New Roman" w:eastAsia="Times New Roman" w:hAnsi="Times New Roman" w:cs="Times New Roman"/>
          <w:sz w:val="24"/>
          <w:szCs w:val="24"/>
          <w:lang w:eastAsia="ru-RU"/>
        </w:rPr>
        <w:t xml:space="preserve"> против </w:t>
      </w:r>
      <w:r w:rsidR="008D14E9" w:rsidRPr="00906EA7">
        <w:rPr>
          <w:rFonts w:ascii="Times New Roman" w:eastAsia="Times New Roman" w:hAnsi="Times New Roman" w:cs="Times New Roman"/>
          <w:sz w:val="24"/>
          <w:szCs w:val="24"/>
          <w:lang w:eastAsia="ru-RU"/>
        </w:rPr>
        <w:t>559</w:t>
      </w:r>
      <w:r w:rsidRPr="00906EA7">
        <w:rPr>
          <w:rFonts w:ascii="Times New Roman" w:eastAsia="Times New Roman" w:hAnsi="Times New Roman" w:cs="Times New Roman"/>
          <w:sz w:val="24"/>
          <w:szCs w:val="24"/>
          <w:lang w:eastAsia="ru-RU"/>
        </w:rPr>
        <w:t xml:space="preserve"> в 201</w:t>
      </w:r>
      <w:r w:rsidR="00BA3293"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w:t>
      </w:r>
    </w:p>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Данная очередность создалась лишь за счет отложенного спроса для детей в возрастной категории 1-3 года. </w:t>
      </w:r>
    </w:p>
    <w:p w:rsidR="00A37066" w:rsidRPr="00906EA7" w:rsidRDefault="00A37066" w:rsidP="0097253F">
      <w:pPr>
        <w:widowControl w:val="0"/>
        <w:spacing w:after="0" w:line="240" w:lineRule="auto"/>
        <w:ind w:firstLine="709"/>
        <w:jc w:val="both"/>
        <w:rPr>
          <w:rFonts w:ascii="Times New Roman" w:hAnsi="Times New Roman" w:cs="Times New Roman"/>
          <w:bCs/>
          <w:sz w:val="24"/>
          <w:szCs w:val="24"/>
        </w:rPr>
      </w:pPr>
      <w:r w:rsidRPr="00906EA7">
        <w:rPr>
          <w:rFonts w:ascii="Times New Roman" w:hAnsi="Times New Roman" w:cs="Times New Roman"/>
          <w:bCs/>
          <w:sz w:val="24"/>
          <w:szCs w:val="24"/>
        </w:rPr>
        <w:t>Существует практика постановки на очередь с момента рождения ребенка, находясь в оплачиваемом отпуске по уходу за ребенком до 3 лет</w:t>
      </w:r>
      <w:r w:rsidR="0072357A" w:rsidRPr="00906EA7">
        <w:rPr>
          <w:rFonts w:ascii="Times New Roman" w:hAnsi="Times New Roman" w:cs="Times New Roman"/>
          <w:bCs/>
          <w:sz w:val="24"/>
          <w:szCs w:val="24"/>
        </w:rPr>
        <w:t>,</w:t>
      </w:r>
      <w:r w:rsidRPr="00906EA7">
        <w:rPr>
          <w:rFonts w:ascii="Times New Roman" w:hAnsi="Times New Roman" w:cs="Times New Roman"/>
          <w:bCs/>
          <w:sz w:val="24"/>
          <w:szCs w:val="24"/>
        </w:rPr>
        <w:t xml:space="preserve"> многие родители откладывают посещение дошкольного учреждения до достижения трехлетнего возраста.</w:t>
      </w:r>
    </w:p>
    <w:p w:rsidR="00A37066" w:rsidRPr="00906EA7" w:rsidRDefault="00A37066" w:rsidP="0097253F">
      <w:pPr>
        <w:widowControl w:val="0"/>
        <w:spacing w:after="0" w:line="240" w:lineRule="auto"/>
        <w:ind w:firstLine="709"/>
        <w:jc w:val="both"/>
        <w:rPr>
          <w:rFonts w:ascii="Times New Roman" w:hAnsi="Times New Roman" w:cs="Times New Roman"/>
          <w:bCs/>
          <w:sz w:val="24"/>
          <w:szCs w:val="24"/>
        </w:rPr>
      </w:pPr>
      <w:r w:rsidRPr="00906EA7">
        <w:rPr>
          <w:rFonts w:ascii="Times New Roman" w:eastAsia="Times New Roman" w:hAnsi="Times New Roman" w:cs="Times New Roman"/>
          <w:sz w:val="24"/>
          <w:szCs w:val="24"/>
          <w:lang w:eastAsia="ru-RU"/>
        </w:rPr>
        <w:t>При этом де</w:t>
      </w:r>
      <w:r w:rsidRPr="00906EA7">
        <w:rPr>
          <w:rFonts w:ascii="Times New Roman" w:hAnsi="Times New Roman" w:cs="Times New Roman"/>
          <w:bCs/>
          <w:sz w:val="24"/>
          <w:szCs w:val="24"/>
        </w:rPr>
        <w:t>ти в возрасте 3-</w:t>
      </w:r>
      <w:r w:rsidR="006028C6" w:rsidRPr="00906EA7">
        <w:rPr>
          <w:rFonts w:ascii="Times New Roman" w:hAnsi="Times New Roman" w:cs="Times New Roman"/>
          <w:bCs/>
          <w:sz w:val="24"/>
          <w:szCs w:val="24"/>
        </w:rPr>
        <w:t>6</w:t>
      </w:r>
      <w:r w:rsidRPr="00906EA7">
        <w:rPr>
          <w:rFonts w:ascii="Times New Roman" w:hAnsi="Times New Roman" w:cs="Times New Roman"/>
          <w:bCs/>
          <w:sz w:val="24"/>
          <w:szCs w:val="24"/>
        </w:rPr>
        <w:t xml:space="preserve"> лет обеспечены местами в детских дошкольных учреждениях полностью.</w:t>
      </w:r>
    </w:p>
    <w:p w:rsidR="00A37066" w:rsidRPr="00906EA7" w:rsidRDefault="00A37066" w:rsidP="0097253F">
      <w:pPr>
        <w:widowControl w:val="0"/>
        <w:spacing w:after="0" w:line="240" w:lineRule="auto"/>
        <w:ind w:firstLine="709"/>
        <w:jc w:val="both"/>
        <w:rPr>
          <w:rFonts w:ascii="Times New Roman" w:hAnsi="Times New Roman" w:cs="Times New Roman"/>
          <w:bCs/>
          <w:sz w:val="24"/>
          <w:szCs w:val="24"/>
        </w:rPr>
      </w:pPr>
      <w:r w:rsidRPr="00906EA7">
        <w:rPr>
          <w:rFonts w:ascii="Times New Roman" w:hAnsi="Times New Roman" w:cs="Times New Roman"/>
          <w:bCs/>
          <w:sz w:val="24"/>
          <w:szCs w:val="24"/>
        </w:rPr>
        <w:lastRenderedPageBreak/>
        <w:t>Наряду с муниципальными образовательными организациями услуги дошкольного образования предоставляет один частный детский сад. В 201</w:t>
      </w:r>
      <w:r w:rsidR="000012E9" w:rsidRPr="00906EA7">
        <w:rPr>
          <w:rFonts w:ascii="Times New Roman" w:hAnsi="Times New Roman" w:cs="Times New Roman"/>
          <w:bCs/>
          <w:sz w:val="24"/>
          <w:szCs w:val="24"/>
        </w:rPr>
        <w:t>9</w:t>
      </w:r>
      <w:r w:rsidRPr="00906EA7">
        <w:rPr>
          <w:rFonts w:ascii="Times New Roman" w:hAnsi="Times New Roman" w:cs="Times New Roman"/>
          <w:bCs/>
          <w:sz w:val="24"/>
          <w:szCs w:val="24"/>
        </w:rPr>
        <w:t xml:space="preserve"> году этой услугой охвачен</w:t>
      </w:r>
      <w:r w:rsidR="0072357A" w:rsidRPr="00906EA7">
        <w:rPr>
          <w:rFonts w:ascii="Times New Roman" w:hAnsi="Times New Roman" w:cs="Times New Roman"/>
          <w:bCs/>
          <w:sz w:val="24"/>
          <w:szCs w:val="24"/>
        </w:rPr>
        <w:t>о</w:t>
      </w:r>
      <w:r w:rsidRPr="00906EA7">
        <w:rPr>
          <w:rFonts w:ascii="Times New Roman" w:hAnsi="Times New Roman" w:cs="Times New Roman"/>
          <w:bCs/>
          <w:sz w:val="24"/>
          <w:szCs w:val="24"/>
        </w:rPr>
        <w:t xml:space="preserve"> </w:t>
      </w:r>
      <w:r w:rsidR="00820591" w:rsidRPr="00906EA7">
        <w:rPr>
          <w:rFonts w:ascii="Times New Roman" w:hAnsi="Times New Roman" w:cs="Times New Roman"/>
          <w:bCs/>
          <w:sz w:val="24"/>
          <w:szCs w:val="24"/>
        </w:rPr>
        <w:t>63</w:t>
      </w:r>
      <w:r w:rsidRPr="00906EA7">
        <w:rPr>
          <w:rFonts w:ascii="Times New Roman" w:hAnsi="Times New Roman" w:cs="Times New Roman"/>
          <w:bCs/>
          <w:sz w:val="24"/>
          <w:szCs w:val="24"/>
        </w:rPr>
        <w:t xml:space="preserve"> </w:t>
      </w:r>
      <w:r w:rsidR="00820591" w:rsidRPr="00906EA7">
        <w:rPr>
          <w:rFonts w:ascii="Times New Roman" w:hAnsi="Times New Roman" w:cs="Times New Roman"/>
          <w:bCs/>
          <w:sz w:val="24"/>
          <w:szCs w:val="24"/>
        </w:rPr>
        <w:t>ребенка</w:t>
      </w:r>
      <w:r w:rsidRPr="00906EA7">
        <w:rPr>
          <w:rFonts w:ascii="Times New Roman" w:hAnsi="Times New Roman" w:cs="Times New Roman"/>
          <w:bCs/>
          <w:sz w:val="24"/>
          <w:szCs w:val="24"/>
        </w:rPr>
        <w:t xml:space="preserve">, что на </w:t>
      </w:r>
      <w:r w:rsidR="000012E9" w:rsidRPr="00906EA7">
        <w:rPr>
          <w:rFonts w:ascii="Times New Roman" w:hAnsi="Times New Roman" w:cs="Times New Roman"/>
          <w:bCs/>
          <w:sz w:val="24"/>
          <w:szCs w:val="24"/>
        </w:rPr>
        <w:t>1</w:t>
      </w:r>
      <w:r w:rsidR="00820591" w:rsidRPr="00906EA7">
        <w:rPr>
          <w:rFonts w:ascii="Times New Roman" w:hAnsi="Times New Roman" w:cs="Times New Roman"/>
          <w:bCs/>
          <w:sz w:val="24"/>
          <w:szCs w:val="24"/>
        </w:rPr>
        <w:t>1</w:t>
      </w:r>
      <w:r w:rsidRPr="00906EA7">
        <w:rPr>
          <w:rFonts w:ascii="Times New Roman" w:hAnsi="Times New Roman" w:cs="Times New Roman"/>
          <w:bCs/>
          <w:sz w:val="24"/>
          <w:szCs w:val="24"/>
        </w:rPr>
        <w:t xml:space="preserve"> детей больше, чем в 201</w:t>
      </w:r>
      <w:r w:rsidR="000012E9" w:rsidRPr="00906EA7">
        <w:rPr>
          <w:rFonts w:ascii="Times New Roman" w:hAnsi="Times New Roman" w:cs="Times New Roman"/>
          <w:bCs/>
          <w:sz w:val="24"/>
          <w:szCs w:val="24"/>
        </w:rPr>
        <w:t>8</w:t>
      </w:r>
      <w:r w:rsidRPr="00906EA7">
        <w:rPr>
          <w:rFonts w:ascii="Times New Roman" w:hAnsi="Times New Roman" w:cs="Times New Roman"/>
          <w:bCs/>
          <w:sz w:val="24"/>
          <w:szCs w:val="24"/>
        </w:rPr>
        <w:t xml:space="preserve"> году. </w:t>
      </w:r>
    </w:p>
    <w:p w:rsidR="002C3F46" w:rsidRPr="00906EA7" w:rsidRDefault="002C3F4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Общее образование</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EA1744" w:rsidRPr="00906EA7" w:rsidRDefault="00EA1744"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На территории городского округа город Мегион действует 7 муниципальных общеобразовательных организаций.</w:t>
      </w:r>
    </w:p>
    <w:p w:rsidR="00EA1744" w:rsidRPr="00906EA7" w:rsidRDefault="00EA174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bCs/>
          <w:sz w:val="24"/>
          <w:szCs w:val="24"/>
          <w:lang w:eastAsia="ru-RU"/>
        </w:rPr>
        <w:t xml:space="preserve">В рамках регионального проекта «Современная школа» (продолжение реализации приоритетного проекта «Современная образовательная среда для школьников») в 2019 году завершено строительство объекта </w:t>
      </w:r>
      <w:r w:rsidRPr="00906EA7">
        <w:rPr>
          <w:rFonts w:ascii="Times New Roman" w:eastAsia="Times New Roman" w:hAnsi="Times New Roman" w:cs="Times New Roman"/>
          <w:sz w:val="24"/>
          <w:szCs w:val="24"/>
          <w:lang w:eastAsia="ru-RU"/>
        </w:rPr>
        <w:t>«Школа в пгт Высокий на 300 учащихся». Это современное учреждение с соблюдением федерального государственного образовательного стандарта. В новой школе предусмотрены кабинет конструирования, лингафонный кабинет, компьютерный класс, кабинет для занятий по изучению правил дорожного движения, лаборатория, бассейн.</w:t>
      </w:r>
    </w:p>
    <w:p w:rsidR="00A37066" w:rsidRPr="00906EA7" w:rsidRDefault="00A37066" w:rsidP="0097253F">
      <w:pPr>
        <w:widowControl w:val="0"/>
        <w:spacing w:after="0" w:line="240" w:lineRule="auto"/>
        <w:ind w:firstLine="709"/>
        <w:jc w:val="both"/>
        <w:rPr>
          <w:rFonts w:ascii="Times New Roman" w:hAnsi="Times New Roman" w:cs="Times New Roman"/>
          <w:i/>
          <w:sz w:val="24"/>
          <w:szCs w:val="24"/>
        </w:rPr>
      </w:pPr>
      <w:r w:rsidRPr="00906EA7">
        <w:rPr>
          <w:rFonts w:ascii="Times New Roman" w:hAnsi="Times New Roman" w:cs="Times New Roman"/>
          <w:sz w:val="24"/>
          <w:szCs w:val="24"/>
        </w:rPr>
        <w:t>По состоянию на 01.09.201</w:t>
      </w:r>
      <w:r w:rsidR="00606540" w:rsidRPr="00906EA7">
        <w:rPr>
          <w:rFonts w:ascii="Times New Roman" w:hAnsi="Times New Roman" w:cs="Times New Roman"/>
          <w:sz w:val="24"/>
          <w:szCs w:val="24"/>
        </w:rPr>
        <w:t>9</w:t>
      </w:r>
      <w:r w:rsidRPr="00906EA7">
        <w:rPr>
          <w:rFonts w:ascii="Times New Roman" w:hAnsi="Times New Roman" w:cs="Times New Roman"/>
          <w:sz w:val="24"/>
          <w:szCs w:val="24"/>
        </w:rPr>
        <w:t xml:space="preserve"> в муниципальных общеобразовательных организациях сформировано </w:t>
      </w:r>
      <w:r w:rsidR="00606540" w:rsidRPr="00906EA7">
        <w:rPr>
          <w:rFonts w:ascii="Times New Roman" w:hAnsi="Times New Roman" w:cs="Times New Roman"/>
          <w:sz w:val="24"/>
          <w:szCs w:val="24"/>
        </w:rPr>
        <w:t xml:space="preserve">298 </w:t>
      </w:r>
      <w:r w:rsidRPr="00906EA7">
        <w:rPr>
          <w:rFonts w:ascii="Times New Roman" w:hAnsi="Times New Roman" w:cs="Times New Roman"/>
          <w:sz w:val="24"/>
          <w:szCs w:val="24"/>
        </w:rPr>
        <w:t xml:space="preserve"> классов, в которых обучается 7 3</w:t>
      </w:r>
      <w:r w:rsidR="00606540" w:rsidRPr="00906EA7">
        <w:rPr>
          <w:rFonts w:ascii="Times New Roman" w:hAnsi="Times New Roman" w:cs="Times New Roman"/>
          <w:sz w:val="24"/>
          <w:szCs w:val="24"/>
        </w:rPr>
        <w:t>00</w:t>
      </w:r>
      <w:r w:rsidRPr="00906EA7">
        <w:rPr>
          <w:rFonts w:ascii="Times New Roman" w:hAnsi="Times New Roman" w:cs="Times New Roman"/>
          <w:sz w:val="24"/>
          <w:szCs w:val="24"/>
        </w:rPr>
        <w:t xml:space="preserve"> школьник</w:t>
      </w:r>
      <w:r w:rsidR="00E1069E" w:rsidRPr="00906EA7">
        <w:rPr>
          <w:rFonts w:ascii="Times New Roman" w:hAnsi="Times New Roman" w:cs="Times New Roman"/>
          <w:sz w:val="24"/>
          <w:szCs w:val="24"/>
        </w:rPr>
        <w:t>ов</w:t>
      </w:r>
      <w:r w:rsidRPr="00906EA7">
        <w:rPr>
          <w:rFonts w:ascii="Times New Roman" w:hAnsi="Times New Roman" w:cs="Times New Roman"/>
          <w:sz w:val="24"/>
          <w:szCs w:val="24"/>
        </w:rPr>
        <w:t xml:space="preserve"> (01.09.201</w:t>
      </w:r>
      <w:r w:rsidR="00606540" w:rsidRPr="00906EA7">
        <w:rPr>
          <w:rFonts w:ascii="Times New Roman" w:hAnsi="Times New Roman" w:cs="Times New Roman"/>
          <w:sz w:val="24"/>
          <w:szCs w:val="24"/>
        </w:rPr>
        <w:t>8</w:t>
      </w:r>
      <w:r w:rsidRPr="00906EA7">
        <w:rPr>
          <w:rFonts w:ascii="Times New Roman" w:hAnsi="Times New Roman" w:cs="Times New Roman"/>
          <w:sz w:val="24"/>
          <w:szCs w:val="24"/>
        </w:rPr>
        <w:t xml:space="preserve"> - 30</w:t>
      </w:r>
      <w:r w:rsidR="00606540" w:rsidRPr="00906EA7">
        <w:rPr>
          <w:rFonts w:ascii="Times New Roman" w:hAnsi="Times New Roman" w:cs="Times New Roman"/>
          <w:sz w:val="24"/>
          <w:szCs w:val="24"/>
        </w:rPr>
        <w:t>5</w:t>
      </w:r>
      <w:r w:rsidRPr="00906EA7">
        <w:rPr>
          <w:rFonts w:ascii="Times New Roman" w:hAnsi="Times New Roman" w:cs="Times New Roman"/>
          <w:sz w:val="24"/>
          <w:szCs w:val="24"/>
        </w:rPr>
        <w:t xml:space="preserve"> классов, 7 </w:t>
      </w:r>
      <w:r w:rsidR="00606540" w:rsidRPr="00906EA7">
        <w:rPr>
          <w:rFonts w:ascii="Times New Roman" w:hAnsi="Times New Roman" w:cs="Times New Roman"/>
          <w:sz w:val="24"/>
          <w:szCs w:val="24"/>
        </w:rPr>
        <w:t>324</w:t>
      </w:r>
      <w:r w:rsidRPr="00906EA7">
        <w:rPr>
          <w:rFonts w:ascii="Times New Roman" w:hAnsi="Times New Roman" w:cs="Times New Roman"/>
          <w:sz w:val="24"/>
          <w:szCs w:val="24"/>
        </w:rPr>
        <w:t xml:space="preserve"> обучающихся).</w:t>
      </w:r>
      <w:r w:rsidRPr="00906EA7">
        <w:rPr>
          <w:rFonts w:ascii="Times New Roman" w:hAnsi="Times New Roman" w:cs="Times New Roman"/>
          <w:i/>
          <w:sz w:val="24"/>
          <w:szCs w:val="24"/>
        </w:rPr>
        <w:t xml:space="preserve"> </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spacing w:after="0" w:line="240" w:lineRule="auto"/>
        <w:jc w:val="center"/>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Динамика показателей отрасли «Образование» за 201</w:t>
      </w:r>
      <w:r w:rsidR="00606540" w:rsidRPr="00906EA7">
        <w:rPr>
          <w:rFonts w:ascii="Times New Roman" w:eastAsia="Calibri Light" w:hAnsi="Times New Roman" w:cs="Times New Roman"/>
          <w:sz w:val="24"/>
          <w:szCs w:val="24"/>
        </w:rPr>
        <w:t>7</w:t>
      </w:r>
      <w:r w:rsidRPr="00906EA7">
        <w:rPr>
          <w:rFonts w:ascii="Times New Roman" w:eastAsia="Calibri Light" w:hAnsi="Times New Roman" w:cs="Times New Roman"/>
          <w:sz w:val="24"/>
          <w:szCs w:val="24"/>
        </w:rPr>
        <w:t>-201</w:t>
      </w:r>
      <w:r w:rsidR="00606540"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годы</w:t>
      </w:r>
    </w:p>
    <w:p w:rsidR="00A37066" w:rsidRPr="00906EA7" w:rsidRDefault="00A37066" w:rsidP="0097253F">
      <w:pPr>
        <w:spacing w:after="0" w:line="240" w:lineRule="auto"/>
        <w:jc w:val="right"/>
        <w:rPr>
          <w:rFonts w:ascii="Times New Roman" w:eastAsia="Calibri Light" w:hAnsi="Times New Roman" w:cs="Times New Roman"/>
          <w:sz w:val="16"/>
          <w:szCs w:val="16"/>
        </w:rPr>
      </w:pPr>
    </w:p>
    <w:tbl>
      <w:tblPr>
        <w:tblStyle w:val="a3"/>
        <w:tblW w:w="9684" w:type="dxa"/>
        <w:tblInd w:w="108" w:type="dxa"/>
        <w:tblLayout w:type="fixed"/>
        <w:tblLook w:val="04A0" w:firstRow="1" w:lastRow="0" w:firstColumn="1" w:lastColumn="0" w:noHBand="0" w:noVBand="1"/>
      </w:tblPr>
      <w:tblGrid>
        <w:gridCol w:w="5135"/>
        <w:gridCol w:w="1096"/>
        <w:gridCol w:w="1096"/>
        <w:gridCol w:w="1097"/>
        <w:gridCol w:w="1260"/>
      </w:tblGrid>
      <w:tr w:rsidR="00606540" w:rsidRPr="00906EA7" w:rsidTr="00606540">
        <w:trPr>
          <w:trHeight w:val="434"/>
        </w:trPr>
        <w:tc>
          <w:tcPr>
            <w:tcW w:w="5135"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Наименования показателей</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 xml:space="preserve">2017 </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2018</w:t>
            </w:r>
          </w:p>
        </w:tc>
        <w:tc>
          <w:tcPr>
            <w:tcW w:w="1097"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 xml:space="preserve">%, </w:t>
            </w:r>
          </w:p>
          <w:p w:rsidR="00606540" w:rsidRPr="00906EA7" w:rsidRDefault="006920F3" w:rsidP="0097253F">
            <w:pPr>
              <w:jc w:val="center"/>
              <w:rPr>
                <w:rFonts w:ascii="Times New Roman" w:hAnsi="Times New Roman"/>
                <w:sz w:val="20"/>
                <w:szCs w:val="20"/>
              </w:rPr>
            </w:pPr>
            <w:r w:rsidRPr="00906EA7">
              <w:rPr>
                <w:rFonts w:ascii="Times New Roman" w:hAnsi="Times New Roman"/>
                <w:sz w:val="20"/>
                <w:szCs w:val="20"/>
              </w:rPr>
              <w:t>2019/</w:t>
            </w:r>
            <w:r w:rsidR="00606540" w:rsidRPr="00906EA7">
              <w:rPr>
                <w:rFonts w:ascii="Times New Roman" w:hAnsi="Times New Roman"/>
                <w:sz w:val="20"/>
                <w:szCs w:val="20"/>
              </w:rPr>
              <w:t>2018</w:t>
            </w:r>
          </w:p>
        </w:tc>
      </w:tr>
      <w:tr w:rsidR="00606540" w:rsidRPr="00906EA7" w:rsidTr="00606540">
        <w:trPr>
          <w:trHeight w:val="788"/>
        </w:trPr>
        <w:tc>
          <w:tcPr>
            <w:tcW w:w="5135"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rPr>
                <w:rFonts w:ascii="Times New Roman" w:hAnsi="Times New Roman"/>
                <w:sz w:val="24"/>
                <w:szCs w:val="24"/>
              </w:rPr>
            </w:pPr>
            <w:r w:rsidRPr="00906EA7">
              <w:rPr>
                <w:rFonts w:ascii="Times New Roman" w:hAnsi="Times New Roman"/>
                <w:sz w:val="24"/>
                <w:szCs w:val="24"/>
              </w:rPr>
              <w:t>Общая численность обучающихся в муниципальных общеобразовательных учреждениях, человек</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7265</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7324</w:t>
            </w:r>
          </w:p>
        </w:tc>
        <w:tc>
          <w:tcPr>
            <w:tcW w:w="1097" w:type="dxa"/>
            <w:tcBorders>
              <w:top w:val="single" w:sz="4" w:space="0" w:color="auto"/>
              <w:left w:val="single" w:sz="4" w:space="0" w:color="auto"/>
              <w:bottom w:val="single" w:sz="4" w:space="0" w:color="auto"/>
              <w:right w:val="single" w:sz="4" w:space="0" w:color="auto"/>
            </w:tcBorders>
            <w:vAlign w:val="center"/>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7300</w:t>
            </w:r>
          </w:p>
        </w:tc>
        <w:tc>
          <w:tcPr>
            <w:tcW w:w="1260" w:type="dxa"/>
            <w:tcBorders>
              <w:top w:val="single" w:sz="4" w:space="0" w:color="auto"/>
              <w:left w:val="single" w:sz="4" w:space="0" w:color="auto"/>
              <w:bottom w:val="single" w:sz="4" w:space="0" w:color="auto"/>
              <w:right w:val="single" w:sz="4" w:space="0" w:color="auto"/>
            </w:tcBorders>
            <w:vAlign w:val="center"/>
          </w:tcPr>
          <w:p w:rsidR="00606540" w:rsidRPr="00906EA7" w:rsidRDefault="00820591" w:rsidP="0097253F">
            <w:pPr>
              <w:jc w:val="center"/>
              <w:rPr>
                <w:rFonts w:ascii="Times New Roman" w:hAnsi="Times New Roman"/>
                <w:sz w:val="24"/>
                <w:szCs w:val="24"/>
              </w:rPr>
            </w:pPr>
            <w:r w:rsidRPr="00906EA7">
              <w:rPr>
                <w:rFonts w:ascii="Times New Roman" w:hAnsi="Times New Roman"/>
                <w:sz w:val="24"/>
                <w:szCs w:val="24"/>
              </w:rPr>
              <w:t>99,67</w:t>
            </w:r>
          </w:p>
        </w:tc>
      </w:tr>
      <w:tr w:rsidR="00606540" w:rsidRPr="00906EA7" w:rsidTr="00606540">
        <w:trPr>
          <w:trHeight w:val="788"/>
        </w:trPr>
        <w:tc>
          <w:tcPr>
            <w:tcW w:w="5135"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rPr>
                <w:rFonts w:ascii="Times New Roman" w:hAnsi="Times New Roman"/>
                <w:sz w:val="24"/>
                <w:szCs w:val="24"/>
              </w:rPr>
            </w:pPr>
            <w:r w:rsidRPr="00906EA7">
              <w:rPr>
                <w:rFonts w:ascii="Times New Roman" w:hAnsi="Times New Roman"/>
                <w:sz w:val="24"/>
                <w:szCs w:val="24"/>
              </w:rPr>
              <w:t>Численность обучающихся в общеобразовательных учреждениях, занимающихся во вторую смену, человек</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1256</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1227</w:t>
            </w:r>
          </w:p>
        </w:tc>
        <w:tc>
          <w:tcPr>
            <w:tcW w:w="1097" w:type="dxa"/>
            <w:tcBorders>
              <w:top w:val="single" w:sz="4" w:space="0" w:color="auto"/>
              <w:left w:val="single" w:sz="4" w:space="0" w:color="auto"/>
              <w:bottom w:val="single" w:sz="4" w:space="0" w:color="auto"/>
              <w:right w:val="single" w:sz="4" w:space="0" w:color="auto"/>
            </w:tcBorders>
            <w:vAlign w:val="center"/>
          </w:tcPr>
          <w:p w:rsidR="00606540" w:rsidRPr="00906EA7" w:rsidRDefault="00820591" w:rsidP="0097253F">
            <w:pPr>
              <w:jc w:val="center"/>
              <w:rPr>
                <w:rFonts w:ascii="Times New Roman" w:hAnsi="Times New Roman"/>
                <w:sz w:val="24"/>
                <w:szCs w:val="24"/>
              </w:rPr>
            </w:pPr>
            <w:r w:rsidRPr="00906EA7">
              <w:rPr>
                <w:rFonts w:ascii="Times New Roman" w:hAnsi="Times New Roman"/>
                <w:sz w:val="24"/>
                <w:szCs w:val="24"/>
              </w:rPr>
              <w:t>914</w:t>
            </w:r>
          </w:p>
        </w:tc>
        <w:tc>
          <w:tcPr>
            <w:tcW w:w="1260" w:type="dxa"/>
            <w:tcBorders>
              <w:top w:val="single" w:sz="4" w:space="0" w:color="auto"/>
              <w:left w:val="single" w:sz="4" w:space="0" w:color="auto"/>
              <w:bottom w:val="single" w:sz="4" w:space="0" w:color="auto"/>
              <w:right w:val="single" w:sz="4" w:space="0" w:color="auto"/>
            </w:tcBorders>
            <w:vAlign w:val="center"/>
          </w:tcPr>
          <w:p w:rsidR="00606540" w:rsidRPr="00906EA7" w:rsidRDefault="00820591" w:rsidP="0097253F">
            <w:pPr>
              <w:jc w:val="center"/>
              <w:rPr>
                <w:rFonts w:ascii="Times New Roman" w:hAnsi="Times New Roman"/>
                <w:sz w:val="24"/>
                <w:szCs w:val="24"/>
              </w:rPr>
            </w:pPr>
            <w:r w:rsidRPr="00906EA7">
              <w:rPr>
                <w:rFonts w:ascii="Times New Roman" w:hAnsi="Times New Roman"/>
                <w:sz w:val="24"/>
                <w:szCs w:val="24"/>
              </w:rPr>
              <w:t>74,49</w:t>
            </w:r>
          </w:p>
        </w:tc>
      </w:tr>
      <w:tr w:rsidR="00606540" w:rsidRPr="00906EA7" w:rsidTr="00606540">
        <w:trPr>
          <w:trHeight w:val="475"/>
        </w:trPr>
        <w:tc>
          <w:tcPr>
            <w:tcW w:w="5135"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rPr>
                <w:rFonts w:ascii="Times New Roman" w:hAnsi="Times New Roman"/>
                <w:sz w:val="24"/>
                <w:szCs w:val="24"/>
              </w:rPr>
            </w:pPr>
            <w:r w:rsidRPr="00906EA7">
              <w:rPr>
                <w:rFonts w:ascii="Times New Roman" w:hAnsi="Times New Roman"/>
                <w:sz w:val="24"/>
                <w:szCs w:val="24"/>
              </w:rPr>
              <w:t>Доля обучающихся во вторую смену, % от общего числа обучающихся</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17,3</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16,8</w:t>
            </w:r>
          </w:p>
        </w:tc>
        <w:tc>
          <w:tcPr>
            <w:tcW w:w="1097" w:type="dxa"/>
            <w:tcBorders>
              <w:top w:val="single" w:sz="4" w:space="0" w:color="auto"/>
              <w:left w:val="single" w:sz="4" w:space="0" w:color="auto"/>
              <w:bottom w:val="single" w:sz="4" w:space="0" w:color="auto"/>
              <w:right w:val="single" w:sz="4" w:space="0" w:color="auto"/>
            </w:tcBorders>
            <w:vAlign w:val="center"/>
          </w:tcPr>
          <w:p w:rsidR="00606540" w:rsidRPr="00906EA7" w:rsidRDefault="00820591" w:rsidP="0097253F">
            <w:pPr>
              <w:jc w:val="center"/>
              <w:rPr>
                <w:rFonts w:ascii="Times New Roman" w:hAnsi="Times New Roman"/>
                <w:sz w:val="24"/>
                <w:szCs w:val="24"/>
              </w:rPr>
            </w:pPr>
            <w:r w:rsidRPr="00906EA7">
              <w:rPr>
                <w:rFonts w:ascii="Times New Roman" w:hAnsi="Times New Roman"/>
                <w:sz w:val="24"/>
                <w:szCs w:val="24"/>
              </w:rPr>
              <w:t>12,52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w:t>
            </w:r>
          </w:p>
        </w:tc>
      </w:tr>
    </w:tbl>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p>
    <w:p w:rsidR="005C4BA2" w:rsidRPr="00906EA7" w:rsidRDefault="005C4BA2" w:rsidP="0097253F">
      <w:pPr>
        <w:widowControl w:val="0"/>
        <w:spacing w:after="0" w:line="240" w:lineRule="auto"/>
        <w:ind w:firstLine="708"/>
        <w:jc w:val="both"/>
        <w:rPr>
          <w:rFonts w:ascii="Times New Roman" w:hAnsi="Times New Roman" w:cs="Times New Roman"/>
          <w:bCs/>
          <w:sz w:val="24"/>
          <w:szCs w:val="24"/>
        </w:rPr>
      </w:pPr>
      <w:r w:rsidRPr="00906EA7">
        <w:rPr>
          <w:rFonts w:ascii="Times New Roman" w:hAnsi="Times New Roman" w:cs="Times New Roman"/>
          <w:sz w:val="24"/>
          <w:szCs w:val="24"/>
        </w:rPr>
        <w:t>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На основе федеральных и региональных нормативных документов, и методических рекомендаций разработана н</w:t>
      </w:r>
      <w:r w:rsidRPr="00906EA7">
        <w:rPr>
          <w:rFonts w:ascii="Times New Roman" w:hAnsi="Times New Roman" w:cs="Times New Roman"/>
          <w:bCs/>
          <w:sz w:val="24"/>
          <w:szCs w:val="24"/>
        </w:rPr>
        <w:t xml:space="preserve">ормативная база муниципального уровня, обеспечивающая реализацию направления. </w:t>
      </w:r>
    </w:p>
    <w:p w:rsidR="005C4BA2" w:rsidRPr="00906EA7" w:rsidRDefault="005C4BA2" w:rsidP="0097253F">
      <w:pPr>
        <w:widowControl w:val="0"/>
        <w:spacing w:after="0" w:line="240" w:lineRule="auto"/>
        <w:ind w:firstLine="708"/>
        <w:jc w:val="both"/>
        <w:rPr>
          <w:rFonts w:ascii="Times New Roman" w:hAnsi="Times New Roman" w:cs="Times New Roman"/>
          <w:bCs/>
          <w:sz w:val="24"/>
          <w:szCs w:val="24"/>
          <w:highlight w:val="yellow"/>
        </w:rPr>
      </w:pPr>
      <w:r w:rsidRPr="00906EA7">
        <w:rPr>
          <w:rFonts w:ascii="Times New Roman" w:hAnsi="Times New Roman" w:cs="Times New Roman"/>
          <w:bCs/>
          <w:sz w:val="24"/>
          <w:szCs w:val="24"/>
        </w:rPr>
        <w:t xml:space="preserve">В муниципальных общеобразовательных учреждениях в 2019 году </w:t>
      </w:r>
      <w:r w:rsidRPr="00906EA7">
        <w:rPr>
          <w:rFonts w:ascii="Times New Roman" w:hAnsi="Times New Roman" w:cs="Times New Roman"/>
          <w:sz w:val="24"/>
          <w:szCs w:val="24"/>
        </w:rPr>
        <w:t>доля школьников, обучающихся по ФГОС, увеличилась и составила 90,2% от общего числа обучающихся (в 2018 году – 81,5%).</w:t>
      </w:r>
    </w:p>
    <w:p w:rsidR="005C4BA2" w:rsidRPr="00906EA7" w:rsidRDefault="005C4BA2" w:rsidP="0097253F">
      <w:pPr>
        <w:spacing w:after="0" w:line="240" w:lineRule="auto"/>
        <w:ind w:firstLine="709"/>
        <w:jc w:val="both"/>
        <w:rPr>
          <w:rFonts w:ascii="Times New Roman" w:hAnsi="Times New Roman" w:cs="Times New Roman"/>
          <w:sz w:val="24"/>
          <w:szCs w:val="24"/>
          <w:highlight w:val="yellow"/>
        </w:rPr>
      </w:pPr>
      <w:r w:rsidRPr="00906EA7">
        <w:rPr>
          <w:rFonts w:ascii="Times New Roman" w:hAnsi="Times New Roman" w:cs="Times New Roman"/>
          <w:sz w:val="24"/>
          <w:szCs w:val="24"/>
        </w:rPr>
        <w:t>Получение образования повышенного уровня обеспечивают муниципальное автономное общеобразовательное учреждение №5 «Гимназия», муниципальное бюджетное общеобразовательное учреждение «Средняя общеобразовательная школа №3 с углубленным изучением отдельных предметов имени Ивана Ивановича Рынкового». Доля обучающихся, занимающихся в учреждениях повышенного уровня, остается стабильной и составляет 26% (2018 год – 26,4%).</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Подготовка и проведение государственной итоговой аттестации обучающихся, освоивших образовательные программы среднего общего образования, на территории муниципального образования город Мегион в 2019 году проводилась в соответствии со статьей 59 закона Российской Федерации от 29.12.2012 №273-ФЗ «Об образовании в </w:t>
      </w:r>
      <w:r w:rsidRPr="00906EA7">
        <w:rPr>
          <w:rFonts w:ascii="Times New Roman" w:hAnsi="Times New Roman" w:cs="Times New Roman"/>
          <w:sz w:val="24"/>
          <w:szCs w:val="24"/>
        </w:rPr>
        <w:lastRenderedPageBreak/>
        <w:t>Российской Федерации», Порядком проведения государственной итоговой аттестации по образовательным программам среднего общего образования.</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2019 году в региональной информационной системе государственной итоговой аттестации обучающихся, освоивших образовательные программы среднего общего образования, было зарегистрировано 352 выпускника, из которых 351 участник выбрал форму единого государственного экзамена (далее </w:t>
      </w:r>
      <w:r w:rsidR="00FF6D65" w:rsidRPr="00906EA7">
        <w:rPr>
          <w:rFonts w:ascii="Times New Roman" w:hAnsi="Times New Roman" w:cs="Times New Roman"/>
          <w:sz w:val="24"/>
          <w:szCs w:val="24"/>
        </w:rPr>
        <w:t>–</w:t>
      </w:r>
      <w:r w:rsidRPr="00906EA7">
        <w:rPr>
          <w:rFonts w:ascii="Times New Roman" w:hAnsi="Times New Roman" w:cs="Times New Roman"/>
          <w:sz w:val="24"/>
          <w:szCs w:val="24"/>
        </w:rPr>
        <w:t xml:space="preserve"> ЕГЭ) и 1 участник форму государственного выпускного экзамена (далее </w:t>
      </w:r>
      <w:r w:rsidR="00FF6D65" w:rsidRPr="00906EA7">
        <w:rPr>
          <w:rFonts w:ascii="Times New Roman" w:hAnsi="Times New Roman" w:cs="Times New Roman"/>
          <w:sz w:val="24"/>
          <w:szCs w:val="24"/>
        </w:rPr>
        <w:t>–</w:t>
      </w:r>
      <w:r w:rsidRPr="00906EA7">
        <w:rPr>
          <w:rFonts w:ascii="Times New Roman" w:hAnsi="Times New Roman" w:cs="Times New Roman"/>
          <w:sz w:val="24"/>
          <w:szCs w:val="24"/>
        </w:rPr>
        <w:t xml:space="preserve"> ГВЭ), а также 26 человек из числа выпускников прошлых лет и 16 обучающихся учреждений среднего профессионального образования.</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сравнении с 2017, 2018 годами результаты и процентные показатели стабильны по основным предметам. Средний тестовый бал ЕГЭ выпускников по русскому языку – 67, по математике (профильный уровень) – 50. Минимальный тестовый балл, установленный на федеральном уровне, по математике (профильный уровень) составляет 27 баллов, по русскому языку – 36 баллов, минимальный пороговый балл для получения аттестата -  по математике (профильный уровень) составляет 23 балла, по русскому языку – 24 балла</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 итогам учебного года 350 выпускников 11-х классов получили аттестат о среднем общем образовании (99,5%), в 2018 году- 312 (100%) выпускников</w:t>
      </w:r>
      <w:r w:rsidR="00E1069E" w:rsidRPr="00906EA7">
        <w:rPr>
          <w:rFonts w:ascii="Times New Roman" w:hAnsi="Times New Roman" w:cs="Times New Roman"/>
          <w:sz w:val="24"/>
          <w:szCs w:val="24"/>
        </w:rPr>
        <w:t>,</w:t>
      </w:r>
      <w:r w:rsidRPr="00906EA7">
        <w:rPr>
          <w:rFonts w:ascii="Times New Roman" w:hAnsi="Times New Roman" w:cs="Times New Roman"/>
          <w:sz w:val="24"/>
          <w:szCs w:val="24"/>
        </w:rPr>
        <w:t xml:space="preserve"> в 2017 году –  296 человек (98,7%). 15 выпускников 11-х классов получили медаль «За особые успехи в обучении» (2018 год </w:t>
      </w:r>
      <w:r w:rsidR="00FF6D65" w:rsidRPr="00906EA7">
        <w:rPr>
          <w:rFonts w:ascii="Times New Roman" w:hAnsi="Times New Roman" w:cs="Times New Roman"/>
          <w:sz w:val="24"/>
          <w:szCs w:val="24"/>
        </w:rPr>
        <w:t>–</w:t>
      </w:r>
      <w:r w:rsidRPr="00906EA7">
        <w:rPr>
          <w:rFonts w:ascii="Times New Roman" w:hAnsi="Times New Roman" w:cs="Times New Roman"/>
          <w:sz w:val="24"/>
          <w:szCs w:val="24"/>
        </w:rPr>
        <w:t xml:space="preserve"> 28 выпускников, 2017 год – 18 выпускников).</w:t>
      </w:r>
    </w:p>
    <w:p w:rsidR="005C4BA2" w:rsidRPr="00906EA7" w:rsidRDefault="005C4BA2" w:rsidP="0097253F">
      <w:pPr>
        <w:widowControl w:val="0"/>
        <w:spacing w:after="0" w:line="240" w:lineRule="auto"/>
        <w:ind w:firstLine="708"/>
        <w:jc w:val="both"/>
        <w:rPr>
          <w:rFonts w:ascii="Times New Roman" w:hAnsi="Times New Roman" w:cs="Times New Roman"/>
          <w:sz w:val="24"/>
          <w:szCs w:val="24"/>
          <w:highlight w:val="red"/>
        </w:rPr>
      </w:pPr>
      <w:r w:rsidRPr="00906EA7">
        <w:rPr>
          <w:rFonts w:ascii="Times New Roman" w:eastAsia="Calibri" w:hAnsi="Times New Roman" w:cs="Times New Roman"/>
          <w:sz w:val="24"/>
          <w:szCs w:val="24"/>
        </w:rPr>
        <w:t>40 выпускников (11,3%) от общего количества выпускников 11-х классов набрали более 220 баллов по трем выбранным для прохождения государственной итоговой аттестации по предметам. Как и в 2018 году, в</w:t>
      </w:r>
      <w:r w:rsidRPr="00906EA7">
        <w:rPr>
          <w:rFonts w:ascii="Times New Roman" w:hAnsi="Times New Roman" w:cs="Times New Roman"/>
          <w:sz w:val="24"/>
          <w:szCs w:val="24"/>
        </w:rPr>
        <w:t>ыпускников, набравших 100 баллов – 1 человек (0,3%).</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 результатам работы муниципальных общеобразовательных организаций за 2018-2019 учебный год:</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 на «4» и «5» окончили 2485 (34,3%), в 2017-2018 году – 2 527 человек (34,8%), на 42 человека меньше;</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не аттестованных – 4 обучающихся (0,1%), в 2017-2018 году</w:t>
      </w:r>
      <w:r w:rsidR="00FF6D65" w:rsidRPr="00906EA7">
        <w:rPr>
          <w:rFonts w:ascii="Times New Roman" w:hAnsi="Times New Roman" w:cs="Times New Roman"/>
          <w:sz w:val="24"/>
          <w:szCs w:val="24"/>
        </w:rPr>
        <w:t xml:space="preserve"> –</w:t>
      </w:r>
      <w:r w:rsidRPr="00906EA7">
        <w:rPr>
          <w:rFonts w:ascii="Times New Roman" w:hAnsi="Times New Roman" w:cs="Times New Roman"/>
          <w:sz w:val="24"/>
          <w:szCs w:val="24"/>
        </w:rPr>
        <w:t xml:space="preserve"> 6 обучающихся (0,1%), что на </w:t>
      </w:r>
      <w:r w:rsidR="00E1069E" w:rsidRPr="00906EA7">
        <w:rPr>
          <w:rFonts w:ascii="Times New Roman" w:hAnsi="Times New Roman" w:cs="Times New Roman"/>
          <w:sz w:val="24"/>
          <w:szCs w:val="24"/>
        </w:rPr>
        <w:t>2</w:t>
      </w:r>
      <w:r w:rsidRPr="00906EA7">
        <w:rPr>
          <w:rFonts w:ascii="Times New Roman" w:hAnsi="Times New Roman" w:cs="Times New Roman"/>
          <w:sz w:val="24"/>
          <w:szCs w:val="24"/>
        </w:rPr>
        <w:t xml:space="preserve"> человека </w:t>
      </w:r>
      <w:r w:rsidR="00145DA3" w:rsidRPr="00906EA7">
        <w:rPr>
          <w:rFonts w:ascii="Times New Roman" w:hAnsi="Times New Roman" w:cs="Times New Roman"/>
          <w:sz w:val="24"/>
          <w:szCs w:val="24"/>
        </w:rPr>
        <w:t>меньше</w:t>
      </w:r>
      <w:r w:rsidRPr="00906EA7">
        <w:rPr>
          <w:rFonts w:ascii="Times New Roman" w:hAnsi="Times New Roman" w:cs="Times New Roman"/>
          <w:sz w:val="24"/>
          <w:szCs w:val="24"/>
        </w:rPr>
        <w:t>, чем в прошлом учебном году;</w:t>
      </w:r>
    </w:p>
    <w:p w:rsidR="005C4BA2" w:rsidRPr="00906EA7" w:rsidRDefault="005C4BA2" w:rsidP="0097253F">
      <w:pPr>
        <w:spacing w:after="0" w:line="240" w:lineRule="auto"/>
        <w:ind w:firstLine="708"/>
        <w:jc w:val="both"/>
        <w:rPr>
          <w:rStyle w:val="af4"/>
          <w:rFonts w:ascii="Times New Roman" w:hAnsi="Times New Roman" w:cs="Times New Roman"/>
          <w:b w:val="0"/>
          <w:sz w:val="24"/>
          <w:szCs w:val="24"/>
          <w:shd w:val="clear" w:color="auto" w:fill="FFFFFF"/>
        </w:rPr>
      </w:pPr>
      <w:r w:rsidRPr="00906EA7">
        <w:rPr>
          <w:rFonts w:ascii="Times New Roman" w:hAnsi="Times New Roman" w:cs="Times New Roman"/>
          <w:sz w:val="24"/>
          <w:szCs w:val="24"/>
        </w:rPr>
        <w:t>окончили учебный год с отметкой «2» - 62 обучающихся (0,8%), в 2017-2018 учебном году – 44 человека (0,6%), на 18 человек больше.</w:t>
      </w:r>
      <w:r w:rsidRPr="00906EA7">
        <w:rPr>
          <w:rFonts w:ascii="Times New Roman" w:eastAsia="Times New Roman" w:hAnsi="Times New Roman" w:cs="Times New Roman"/>
          <w:sz w:val="24"/>
          <w:szCs w:val="24"/>
          <w:lang w:eastAsia="ru-RU"/>
        </w:rPr>
        <w:t xml:space="preserve"> </w:t>
      </w:r>
      <w:r w:rsidRPr="00906EA7">
        <w:rPr>
          <w:rStyle w:val="af4"/>
          <w:rFonts w:ascii="Times New Roman" w:hAnsi="Times New Roman" w:cs="Times New Roman"/>
          <w:b w:val="0"/>
          <w:sz w:val="24"/>
          <w:szCs w:val="24"/>
          <w:shd w:val="clear" w:color="auto" w:fill="FFFFFF"/>
        </w:rPr>
        <w:t xml:space="preserve">Снижение успеваемости обучающихся общеобразовательных организаций связано с увеличением количества детей испытывающих трудности в освоении образовательной программы соответствующего уровня. </w:t>
      </w:r>
    </w:p>
    <w:p w:rsidR="005C4BA2" w:rsidRPr="00906EA7" w:rsidRDefault="005C4BA2" w:rsidP="0097253F">
      <w:pPr>
        <w:spacing w:after="0" w:line="240" w:lineRule="auto"/>
        <w:ind w:firstLine="708"/>
        <w:jc w:val="both"/>
        <w:rPr>
          <w:rFonts w:ascii="Times New Roman" w:hAnsi="Times New Roman" w:cs="Times New Roman"/>
          <w:sz w:val="24"/>
          <w:szCs w:val="24"/>
        </w:rPr>
      </w:pPr>
      <w:r w:rsidRPr="00906EA7">
        <w:rPr>
          <w:rStyle w:val="af4"/>
          <w:rFonts w:ascii="Times New Roman" w:hAnsi="Times New Roman" w:cs="Times New Roman"/>
          <w:b w:val="0"/>
          <w:sz w:val="24"/>
          <w:szCs w:val="24"/>
          <w:shd w:val="clear" w:color="auto" w:fill="FFFFFF"/>
        </w:rPr>
        <w:t xml:space="preserve">Анализ снижения успеваемости выявил </w:t>
      </w:r>
      <w:r w:rsidRPr="00906EA7">
        <w:rPr>
          <w:rFonts w:ascii="Times New Roman" w:hAnsi="Times New Roman" w:cs="Times New Roman"/>
          <w:sz w:val="24"/>
          <w:szCs w:val="24"/>
          <w:shd w:val="clear" w:color="auto" w:fill="FFFFFF"/>
        </w:rPr>
        <w:t>увеличение числа детей, имеющих заключение психолого-медико-педагогической комиссии - «школьная дезодаптация», т.е. нарушение учебной деятельности.</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Общий процент успеваемости в целом по городу составляет 99,1%, общегородской процент качества по итогам 2018-2019 учебного года составляет 41%.</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рамках реализации окружного проекта «Успех каждого ребенка» Национального проекта «Образование»:</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 71 ученик получил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во Всероссийском проекте по ранней профессиональной ориентации учащихся 6-11-х классов общеобразовательных организаций «Билет в будущее»;</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свыше 2000 обучающихся школ города приняли участие в открытых онлайн-уроках «Проектория», направленных на раннюю профориентацию.</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Площадкой практических мероприятий по профессиональной ориентации ознакомительного характера выступило бюджетное учреждение профессионального образования Ханты-Мансийского автономного округа </w:t>
      </w:r>
      <w:r w:rsidR="00FF6D65" w:rsidRPr="00906EA7">
        <w:rPr>
          <w:rFonts w:ascii="Times New Roman" w:hAnsi="Times New Roman" w:cs="Times New Roman"/>
          <w:sz w:val="24"/>
          <w:szCs w:val="24"/>
        </w:rPr>
        <w:t>–</w:t>
      </w:r>
      <w:r w:rsidRPr="00906EA7">
        <w:rPr>
          <w:rFonts w:ascii="Times New Roman" w:hAnsi="Times New Roman" w:cs="Times New Roman"/>
          <w:sz w:val="24"/>
          <w:szCs w:val="24"/>
        </w:rPr>
        <w:t xml:space="preserve"> Югры «Мегионский политехнический колледж».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образовательных организациях созданы условия для обучения и развития творческих способностей детей. В 2019 году обучающиеся в возрасте от 6 до 18 лет приняли </w:t>
      </w:r>
      <w:r w:rsidRPr="00906EA7">
        <w:rPr>
          <w:rFonts w:ascii="Times New Roman" w:hAnsi="Times New Roman" w:cs="Times New Roman"/>
          <w:sz w:val="24"/>
          <w:szCs w:val="24"/>
        </w:rPr>
        <w:lastRenderedPageBreak/>
        <w:t xml:space="preserve">участие в муниципальных, региональных, всероссийских и международных конкурсах в различных сферах деятельности.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одаренных детей.</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 Проводятся городские мероприятия, ориентированные на выявление и поддержку талантливых, творческих и инициативных детей и подростков.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Доля обучающихся, принявших участие во всероссийской олимпиаде школьников, в 2019 году сократилась, в связи со снижением численности обучающихся в образовательных организациях города.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Общая численность обучающихся 4-11 классов, принявших участие во всех этапах всероссийской олимпиады школьников, составила: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школьном этапе – 2 904 человека, или 60% от числа обучающихся 4-11 классов </w:t>
      </w:r>
      <w:r w:rsidR="00FF6D65" w:rsidRPr="00906EA7">
        <w:rPr>
          <w:rFonts w:ascii="Times New Roman" w:hAnsi="Times New Roman" w:cs="Times New Roman"/>
          <w:sz w:val="24"/>
          <w:szCs w:val="24"/>
        </w:rPr>
        <w:t xml:space="preserve">      </w:t>
      </w:r>
      <w:r w:rsidRPr="00906EA7">
        <w:rPr>
          <w:rFonts w:ascii="Times New Roman" w:hAnsi="Times New Roman" w:cs="Times New Roman"/>
          <w:sz w:val="24"/>
          <w:szCs w:val="24"/>
        </w:rPr>
        <w:t>(в 2018 году – 2 999 человек);</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муниципальном этапе – 801 человек – 30% от числа обучающихся 7-11 классов </w:t>
      </w:r>
      <w:r w:rsidR="00FF6D65" w:rsidRPr="00906EA7">
        <w:rPr>
          <w:rFonts w:ascii="Times New Roman" w:hAnsi="Times New Roman" w:cs="Times New Roman"/>
          <w:sz w:val="24"/>
          <w:szCs w:val="24"/>
        </w:rPr>
        <w:t xml:space="preserve">      </w:t>
      </w:r>
      <w:r w:rsidRPr="00906EA7">
        <w:rPr>
          <w:rFonts w:ascii="Times New Roman" w:hAnsi="Times New Roman" w:cs="Times New Roman"/>
          <w:sz w:val="24"/>
          <w:szCs w:val="24"/>
        </w:rPr>
        <w:t>(в 2018 году - 740);</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региональном этапе – 51 человек (в 2018 году - 67).</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 9-11 классов составляет 3,7% (в 2018 году – 4,9%).</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Доля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городского округа составляет 5,8% (в 2018 году – 7,4%), количество призовых мест, занятых на региональном этапе олимпиады – 4 (в 2018 году – 5).</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В 2019 году обучающаяся МАОУ №5 «Гимназия» стала победителем регионального этапа XXIII окружной научной конференции молодых исследователей «Шаг в будущее», успешно выступила на заключительном этапе в городе Москве.</w:t>
      </w:r>
      <w:r w:rsidRPr="00906EA7">
        <w:rPr>
          <w:rFonts w:ascii="Times New Roman" w:eastAsia="Times New Roman" w:hAnsi="Times New Roman" w:cs="Times New Roman"/>
          <w:sz w:val="24"/>
          <w:szCs w:val="24"/>
          <w:lang w:eastAsia="ru-RU"/>
        </w:rPr>
        <w:t xml:space="preserve"> </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Автономная некоммерческая организация содействия развитию молодежи «До 16 и старше» в ноябре 2019 года на базе МБОУ «СОШ №2» организовала и провела городской молодежный образовательный фестиваль «Новая Цивилизация». Основной целью фестиваля является отработка теоретических и практических навыков социального проектирования, изучение истории автономного округа, практики публичных выступлений. В фестивале приняли участие 72 обучающихся школ города.</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Отмечается увеличение доли муниципальных общеобразовательных организаций, соответствующих современным требованиям обучения, с 75,2% в 2014 году до 100% в 2019 году.</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Для достижения показателей регионального проекта «Цифровая образовательная среда» с начала нового учебного года во всех образовательных организациях города внедрена цифровая образовательная платформа автономного округа «ГИС Образование Югры». Информационная платформа позволит создать новую архитектуру реализации цифровой образовательной среды. Педагогический состав образовательных организаций прошел обучение и подготовку по программам информационных технологий, в том числе по программе профессионального развития учителей в области цифровых технологий «Цифровая компетентность педагога».</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Во всех муниципальных общеобразовательных организациях реализуются проекты: «Открытая школа 2035», «Savekidsplatform» (сервис Я-рядом). В образовательном процессе используются такие цифровые ресурсы как: «Учи.ру» и «Мобильное электронное образование». </w:t>
      </w:r>
    </w:p>
    <w:p w:rsidR="005C4BA2" w:rsidRPr="00906EA7" w:rsidRDefault="005C4BA2"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napToGrid w:val="0"/>
          <w:sz w:val="24"/>
          <w:szCs w:val="24"/>
          <w:lang w:eastAsia="ru-RU"/>
        </w:rPr>
        <w:t xml:space="preserve">Все общеобразовательные организации (100%) подключены к сети Интернет. </w:t>
      </w:r>
      <w:r w:rsidRPr="00906EA7">
        <w:rPr>
          <w:rFonts w:ascii="Times New Roman" w:eastAsia="Times New Roman" w:hAnsi="Times New Roman" w:cs="Times New Roman"/>
          <w:sz w:val="24"/>
          <w:szCs w:val="24"/>
          <w:lang w:eastAsia="ru-RU"/>
        </w:rPr>
        <w:t xml:space="preserve">Доля обучающихся, которым обеспечена возможность пользоваться широкополосным Интернетом, составила 100%. Доля школ, имеющих широкополосный Интернет, – 100%. </w:t>
      </w:r>
    </w:p>
    <w:p w:rsidR="005C4BA2" w:rsidRPr="00906EA7" w:rsidRDefault="005C4BA2"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lastRenderedPageBreak/>
        <w:t xml:space="preserve">Департамент образования и молодежной политики администрации города участвует в реализации проекта </w:t>
      </w:r>
      <w:r w:rsidR="00145DA3" w:rsidRPr="00906EA7">
        <w:rPr>
          <w:rFonts w:ascii="Times New Roman" w:hAnsi="Times New Roman" w:cs="Times New Roman"/>
          <w:sz w:val="24"/>
          <w:szCs w:val="24"/>
        </w:rPr>
        <w:t>«</w:t>
      </w:r>
      <w:r w:rsidRPr="00906EA7">
        <w:rPr>
          <w:rFonts w:ascii="Times New Roman" w:hAnsi="Times New Roman" w:cs="Times New Roman"/>
          <w:sz w:val="24"/>
          <w:szCs w:val="24"/>
        </w:rPr>
        <w:t>Госвеб</w:t>
      </w:r>
      <w:r w:rsidR="00145DA3" w:rsidRPr="00906EA7">
        <w:rPr>
          <w:rFonts w:ascii="Times New Roman" w:hAnsi="Times New Roman" w:cs="Times New Roman"/>
          <w:sz w:val="24"/>
          <w:szCs w:val="24"/>
        </w:rPr>
        <w:t>»</w:t>
      </w:r>
      <w:r w:rsidRPr="00906EA7">
        <w:rPr>
          <w:rFonts w:ascii="Times New Roman" w:hAnsi="Times New Roman" w:cs="Times New Roman"/>
          <w:sz w:val="24"/>
          <w:szCs w:val="24"/>
        </w:rPr>
        <w:t xml:space="preserve"> по формированию единой цифровой среды государственных Интернет-ресурсов в модели «одного окна».</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Продолжена работа школьных служб согласия и примирения по обеспечению бесконфликтной среды в образовательных организациях. Деятельность службы согласия и примирения в 2019 году:</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количество членов службы – 198, из них:</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специалисты образовательных организаций – 137 человек; </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волонтеры (несовершеннолетние) – 61;</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количество членов службы прошедших обучение, курсы повышения квалификации – 23;</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количество поступивших обращений – 5;</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количество рассмотренных обращений – 5; </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количество случаев завершенных примирением сторон – 5;</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медиаторы в образовательных организациях – 31 специалистов.</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Проведены мероприятия, направленные на снижение количества конфликтных ситуаций, формирования установок дружественного взаимоотношения – 126.</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 целью формирования законопослушного поведения несовершеннолетних департаментом образования и молодежной политики администрации города Мегиона разработана и внедрена программа «Норма».</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Реализован муниципальный проект «Широкомасштабная профилактическая операция «Год». Результатом стало снижение показателей детского травматизма.</w:t>
      </w:r>
    </w:p>
    <w:p w:rsidR="005C4BA2" w:rsidRPr="00906EA7" w:rsidRDefault="005C4BA2"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bCs/>
          <w:sz w:val="24"/>
          <w:szCs w:val="24"/>
          <w:lang w:eastAsia="ru-RU"/>
        </w:rPr>
        <w:t xml:space="preserve">В городе созданы условия для сохранения и укрепления здоровья детей и подростков. </w:t>
      </w:r>
    </w:p>
    <w:p w:rsidR="005C4BA2" w:rsidRPr="00906EA7" w:rsidRDefault="005C4BA2"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 образовательные организации имеют спортивный зал и спортивные площадки.   Во всех общеобразовательных организациях введен третий час физической культуры.</w:t>
      </w:r>
    </w:p>
    <w:p w:rsidR="005C4BA2" w:rsidRPr="00906EA7" w:rsidRDefault="005C4BA2" w:rsidP="00FF0492">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всем требованиям   санитарных норм и правил. В соответствии с требованиями СанПиН 2.4.5.2409-08 для обучающихся организовано горячее питание – завтрак, для обучающихся льготной категории организованы завтрак, обед. </w:t>
      </w:r>
    </w:p>
    <w:p w:rsidR="00FF0492" w:rsidRPr="00906EA7" w:rsidRDefault="00FF0492" w:rsidP="00FF0492">
      <w:pPr>
        <w:suppressAutoHyphens/>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Мощность общеобразовательных организаций не в полной мере соответствует потребностям населения. Доля детей, обучающихся во вторую смену, снижена до 12,5% - 914 человек (2018 год - 16,7%, 2017 год – 17,3%, 2016 год - 20%, 2015 год - 28,9%).</w:t>
      </w:r>
      <w:r w:rsidRPr="00906EA7">
        <w:rPr>
          <w:rFonts w:ascii="Times New Roman" w:eastAsia="Times New Roman" w:hAnsi="Times New Roman" w:cs="Times New Roman"/>
          <w:bCs/>
          <w:sz w:val="28"/>
          <w:szCs w:val="28"/>
        </w:rPr>
        <w:t xml:space="preserve"> </w:t>
      </w:r>
      <w:r w:rsidRPr="00906EA7">
        <w:rPr>
          <w:rFonts w:ascii="Times New Roman" w:eastAsia="Times New Roman" w:hAnsi="Times New Roman" w:cs="Times New Roman"/>
          <w:bCs/>
          <w:sz w:val="24"/>
          <w:szCs w:val="24"/>
        </w:rPr>
        <w:t xml:space="preserve">С целью снижения доли обучающихся во вторую смену на территории города Мегиона введена </w:t>
      </w:r>
      <w:r w:rsidRPr="00906EA7">
        <w:rPr>
          <w:rFonts w:ascii="Times New Roman" w:eastAsia="Times New Roman" w:hAnsi="Times New Roman" w:cs="Times New Roman"/>
          <w:sz w:val="24"/>
          <w:szCs w:val="24"/>
        </w:rPr>
        <w:t>«Школа в пгт Высокий на 300 учащихся»,  в 2024 году запланирован ввод объекта</w:t>
      </w:r>
      <w:r w:rsidRPr="00906EA7">
        <w:rPr>
          <w:rFonts w:ascii="Times New Roman" w:eastAsia="Times New Roman" w:hAnsi="Times New Roman" w:cs="Times New Roman"/>
          <w:bCs/>
          <w:sz w:val="24"/>
          <w:szCs w:val="24"/>
        </w:rPr>
        <w:t xml:space="preserve"> </w:t>
      </w:r>
      <w:r w:rsidRPr="00906EA7">
        <w:rPr>
          <w:rFonts w:ascii="Times New Roman" w:eastAsia="Times New Roman" w:hAnsi="Times New Roman" w:cs="Times New Roman"/>
          <w:sz w:val="24"/>
          <w:szCs w:val="24"/>
        </w:rPr>
        <w:t>«Средняя общеобразовательная школа на 1600 учащихся» по адресу г.Мегион, ХХ микрорайон.</w:t>
      </w:r>
    </w:p>
    <w:p w:rsidR="00FF0492" w:rsidRPr="00906EA7" w:rsidRDefault="00FF0492" w:rsidP="00FF0492">
      <w:pPr>
        <w:spacing w:after="0" w:line="240" w:lineRule="auto"/>
        <w:ind w:firstLine="708"/>
        <w:jc w:val="both"/>
        <w:rPr>
          <w:rFonts w:ascii="Times New Roman" w:eastAsia="Times New Roman" w:hAnsi="Times New Roman" w:cs="Times New Roman"/>
          <w:sz w:val="24"/>
          <w:szCs w:val="24"/>
          <w:lang w:eastAsia="ru-RU"/>
        </w:rPr>
      </w:pPr>
    </w:p>
    <w:p w:rsidR="00A37066" w:rsidRPr="00906EA7" w:rsidRDefault="00A37066" w:rsidP="00FF0492">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сфере образования функционирует казенное общеобразовательное учреждение Ханты-Мансийского автономного округа – Югры «Мегионская школа для обучающихся с ограниченными возможностями здоровья».</w:t>
      </w:r>
    </w:p>
    <w:p w:rsidR="00A37066" w:rsidRPr="00906EA7" w:rsidRDefault="00A37066" w:rsidP="00FF0492">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Численность обучающихся в данном учреждении на 01.01.20</w:t>
      </w:r>
      <w:r w:rsidR="0070000F" w:rsidRPr="00906EA7">
        <w:rPr>
          <w:rFonts w:ascii="Times New Roman" w:hAnsi="Times New Roman" w:cs="Times New Roman"/>
          <w:sz w:val="24"/>
          <w:szCs w:val="24"/>
        </w:rPr>
        <w:t xml:space="preserve">20 </w:t>
      </w:r>
      <w:r w:rsidRPr="00906EA7">
        <w:rPr>
          <w:rFonts w:ascii="Times New Roman" w:hAnsi="Times New Roman" w:cs="Times New Roman"/>
          <w:sz w:val="24"/>
          <w:szCs w:val="24"/>
        </w:rPr>
        <w:t xml:space="preserve">составляет </w:t>
      </w:r>
      <w:r w:rsidR="0070000F" w:rsidRPr="00906EA7">
        <w:rPr>
          <w:rFonts w:ascii="Times New Roman" w:hAnsi="Times New Roman" w:cs="Times New Roman"/>
          <w:sz w:val="24"/>
          <w:szCs w:val="24"/>
        </w:rPr>
        <w:t>106</w:t>
      </w:r>
      <w:r w:rsidRPr="00906EA7">
        <w:rPr>
          <w:rFonts w:ascii="Times New Roman" w:hAnsi="Times New Roman" w:cs="Times New Roman"/>
          <w:sz w:val="24"/>
          <w:szCs w:val="24"/>
        </w:rPr>
        <w:t xml:space="preserve"> человек.</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Процесс обучения в данной школе организован в две смены</w:t>
      </w:r>
      <w:r w:rsidR="0070000F" w:rsidRPr="00906EA7">
        <w:rPr>
          <w:rFonts w:ascii="Times New Roman" w:hAnsi="Times New Roman" w:cs="Times New Roman"/>
          <w:sz w:val="24"/>
          <w:szCs w:val="24"/>
        </w:rPr>
        <w:t>:</w:t>
      </w:r>
      <w:r w:rsidRPr="00906EA7">
        <w:rPr>
          <w:rFonts w:ascii="Times New Roman" w:hAnsi="Times New Roman" w:cs="Times New Roman"/>
          <w:sz w:val="24"/>
          <w:szCs w:val="24"/>
        </w:rPr>
        <w:t xml:space="preserve"> </w:t>
      </w:r>
      <w:r w:rsidR="0070000F" w:rsidRPr="00906EA7">
        <w:rPr>
          <w:rFonts w:ascii="Times New Roman" w:hAnsi="Times New Roman" w:cs="Times New Roman"/>
          <w:sz w:val="24"/>
          <w:szCs w:val="24"/>
        </w:rPr>
        <w:t>75,5</w:t>
      </w:r>
      <w:r w:rsidRPr="00906EA7">
        <w:rPr>
          <w:rFonts w:ascii="Times New Roman" w:hAnsi="Times New Roman" w:cs="Times New Roman"/>
          <w:sz w:val="24"/>
          <w:szCs w:val="24"/>
        </w:rPr>
        <w:t xml:space="preserve">% детей обучаются в первую смену и </w:t>
      </w:r>
      <w:r w:rsidR="0070000F" w:rsidRPr="00906EA7">
        <w:rPr>
          <w:rFonts w:ascii="Times New Roman" w:hAnsi="Times New Roman" w:cs="Times New Roman"/>
          <w:sz w:val="24"/>
          <w:szCs w:val="24"/>
        </w:rPr>
        <w:t>24,5</w:t>
      </w:r>
      <w:r w:rsidRPr="00906EA7">
        <w:rPr>
          <w:rFonts w:ascii="Times New Roman" w:hAnsi="Times New Roman" w:cs="Times New Roman"/>
          <w:sz w:val="24"/>
          <w:szCs w:val="24"/>
        </w:rPr>
        <w:t>% во вторую.</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201</w:t>
      </w:r>
      <w:r w:rsidR="0070000F"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году численность выпускников </w:t>
      </w:r>
      <w:r w:rsidR="0070000F" w:rsidRPr="00906EA7">
        <w:rPr>
          <w:rFonts w:ascii="Times New Roman" w:hAnsi="Times New Roman" w:cs="Times New Roman"/>
          <w:sz w:val="24"/>
          <w:szCs w:val="24"/>
        </w:rPr>
        <w:t xml:space="preserve">8 </w:t>
      </w:r>
      <w:r w:rsidRPr="00906EA7">
        <w:rPr>
          <w:rFonts w:ascii="Times New Roman" w:hAnsi="Times New Roman" w:cs="Times New Roman"/>
          <w:sz w:val="24"/>
          <w:szCs w:val="24"/>
        </w:rPr>
        <w:t>человек, поступивших в первый класс 11.</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На 01.01.20</w:t>
      </w:r>
      <w:r w:rsidR="0070000F" w:rsidRPr="00906EA7">
        <w:rPr>
          <w:rFonts w:ascii="Times New Roman" w:hAnsi="Times New Roman" w:cs="Times New Roman"/>
          <w:sz w:val="24"/>
          <w:szCs w:val="24"/>
        </w:rPr>
        <w:t>20</w:t>
      </w:r>
      <w:r w:rsidRPr="00906EA7">
        <w:rPr>
          <w:rFonts w:ascii="Times New Roman" w:hAnsi="Times New Roman" w:cs="Times New Roman"/>
          <w:sz w:val="24"/>
          <w:szCs w:val="24"/>
        </w:rPr>
        <w:t xml:space="preserve"> в учреждении созданы и функционируют 14 классов-комплектов. Наполняемость классов </w:t>
      </w:r>
      <w:r w:rsidR="0072357A" w:rsidRPr="00906EA7">
        <w:rPr>
          <w:rFonts w:ascii="Times New Roman" w:hAnsi="Times New Roman" w:cs="Times New Roman"/>
          <w:sz w:val="24"/>
          <w:szCs w:val="24"/>
        </w:rPr>
        <w:t xml:space="preserve">по первому виду ограниченности по здоровью </w:t>
      </w:r>
      <w:r w:rsidRPr="00906EA7">
        <w:rPr>
          <w:rFonts w:ascii="Times New Roman" w:hAnsi="Times New Roman" w:cs="Times New Roman"/>
          <w:sz w:val="24"/>
          <w:szCs w:val="24"/>
        </w:rPr>
        <w:t xml:space="preserve">ниже нормативного на </w:t>
      </w:r>
      <w:r w:rsidR="0070000F" w:rsidRPr="00906EA7">
        <w:rPr>
          <w:rFonts w:ascii="Times New Roman" w:hAnsi="Times New Roman" w:cs="Times New Roman"/>
          <w:sz w:val="24"/>
          <w:szCs w:val="24"/>
        </w:rPr>
        <w:t>21,5</w:t>
      </w:r>
      <w:r w:rsidRPr="00906EA7">
        <w:rPr>
          <w:rFonts w:ascii="Times New Roman" w:hAnsi="Times New Roman" w:cs="Times New Roman"/>
          <w:sz w:val="24"/>
          <w:szCs w:val="24"/>
        </w:rPr>
        <w:t xml:space="preserve">% и </w:t>
      </w:r>
      <w:r w:rsidR="0072357A" w:rsidRPr="00906EA7">
        <w:rPr>
          <w:rFonts w:ascii="Times New Roman" w:hAnsi="Times New Roman" w:cs="Times New Roman"/>
          <w:sz w:val="24"/>
          <w:szCs w:val="24"/>
        </w:rPr>
        <w:t xml:space="preserve">по второму - </w:t>
      </w:r>
      <w:r w:rsidRPr="00906EA7">
        <w:rPr>
          <w:rFonts w:ascii="Times New Roman" w:hAnsi="Times New Roman" w:cs="Times New Roman"/>
          <w:sz w:val="24"/>
          <w:szCs w:val="24"/>
        </w:rPr>
        <w:t xml:space="preserve">на </w:t>
      </w:r>
      <w:r w:rsidR="0070000F" w:rsidRPr="00906EA7">
        <w:rPr>
          <w:rFonts w:ascii="Times New Roman" w:hAnsi="Times New Roman" w:cs="Times New Roman"/>
          <w:sz w:val="24"/>
          <w:szCs w:val="24"/>
        </w:rPr>
        <w:t>64,3</w:t>
      </w:r>
      <w:r w:rsidRPr="00906EA7">
        <w:rPr>
          <w:rFonts w:ascii="Times New Roman" w:hAnsi="Times New Roman" w:cs="Times New Roman"/>
          <w:sz w:val="24"/>
          <w:szCs w:val="24"/>
        </w:rPr>
        <w:t>%.</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Обеспеченность учебными пособиями соответствует нормативному на 100%.</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 В течение учебного года обучающиеся учреждения принимали участие и стали призерами в следующих видах мероприятий по уровням:</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всероссийский конкурс юных исполнителей «Играй свирель»;</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lastRenderedPageBreak/>
        <w:t>мероприятия регионального уровня:</w:t>
      </w:r>
    </w:p>
    <w:p w:rsidR="00A37066"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з</w:t>
      </w:r>
      <w:r w:rsidR="00A37066" w:rsidRPr="00906EA7">
        <w:rPr>
          <w:rFonts w:ascii="Times New Roman" w:hAnsi="Times New Roman" w:cs="Times New Roman"/>
          <w:sz w:val="24"/>
          <w:szCs w:val="24"/>
        </w:rPr>
        <w:t xml:space="preserve">имняя специальная спартакиада </w:t>
      </w:r>
      <w:r w:rsidR="00403265" w:rsidRPr="00906EA7">
        <w:rPr>
          <w:rFonts w:ascii="Times New Roman" w:hAnsi="Times New Roman" w:cs="Times New Roman"/>
          <w:sz w:val="24"/>
          <w:szCs w:val="24"/>
        </w:rPr>
        <w:t>Югры среди детей и подростков</w:t>
      </w:r>
      <w:r w:rsidR="00A37066" w:rsidRPr="00906EA7">
        <w:rPr>
          <w:rFonts w:ascii="Times New Roman" w:hAnsi="Times New Roman" w:cs="Times New Roman"/>
          <w:sz w:val="24"/>
          <w:szCs w:val="24"/>
        </w:rPr>
        <w:t>;</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специальная спартакиада Ханты-Мансийского автономного округа – Югры среди детей и подростков в г.Ханты-Мансийске;</w:t>
      </w:r>
    </w:p>
    <w:p w:rsidR="00A37066"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региональный фестиваль культуры коренных народов Севера «Россыпи Югры».</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мероприятия городского уровня:</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чемпионат и первенство по настольному теннису среди лиц с ограниченными возможностями здоровья, посвященные Дню местного самоуправления;</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городской военно-патриотический фестиваль «Планета мира»;</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III открытый городской интернет-конкурс талантливых детей с ОВЗ «Творчество для души», посвященного году семьи в Югре;</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городской конкурс «Мой зимний дворик»;</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конкурс новогодних поделок «Легенды новогоднего стойбища»;</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открытый фольклорный фестиваль «Звучи душа народная»;</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городской фестиваль художественного творчества детей с ограниченными возможностями «Солнце для всех»;</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IX открытый городской фестиваль национальных культур «Дружба народов».</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По итогам </w:t>
      </w:r>
      <w:r w:rsidR="0070089E" w:rsidRPr="00906EA7">
        <w:rPr>
          <w:rFonts w:ascii="Times New Roman" w:hAnsi="Times New Roman" w:cs="Times New Roman"/>
          <w:sz w:val="24"/>
          <w:szCs w:val="24"/>
        </w:rPr>
        <w:t xml:space="preserve">участия в </w:t>
      </w:r>
      <w:r w:rsidRPr="00906EA7">
        <w:rPr>
          <w:rFonts w:ascii="Times New Roman" w:hAnsi="Times New Roman" w:cs="Times New Roman"/>
          <w:sz w:val="24"/>
          <w:szCs w:val="24"/>
        </w:rPr>
        <w:t>мероприяти</w:t>
      </w:r>
      <w:r w:rsidR="0070089E" w:rsidRPr="00906EA7">
        <w:rPr>
          <w:rFonts w:ascii="Times New Roman" w:hAnsi="Times New Roman" w:cs="Times New Roman"/>
          <w:sz w:val="24"/>
          <w:szCs w:val="24"/>
        </w:rPr>
        <w:t xml:space="preserve">ях </w:t>
      </w:r>
      <w:r w:rsidRPr="00906EA7">
        <w:rPr>
          <w:rFonts w:ascii="Times New Roman" w:hAnsi="Times New Roman" w:cs="Times New Roman"/>
          <w:sz w:val="24"/>
          <w:szCs w:val="24"/>
        </w:rPr>
        <w:t xml:space="preserve"> 45 человек</w:t>
      </w:r>
      <w:r w:rsidR="0070089E" w:rsidRPr="00906EA7">
        <w:rPr>
          <w:rFonts w:ascii="Times New Roman" w:hAnsi="Times New Roman" w:cs="Times New Roman"/>
          <w:sz w:val="24"/>
          <w:szCs w:val="24"/>
        </w:rPr>
        <w:t xml:space="preserve"> стали призерами</w:t>
      </w:r>
      <w:r w:rsidRPr="00906EA7">
        <w:rPr>
          <w:rFonts w:ascii="Times New Roman" w:hAnsi="Times New Roman" w:cs="Times New Roman"/>
          <w:sz w:val="24"/>
          <w:szCs w:val="24"/>
        </w:rPr>
        <w:t>.</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учреждении трудятся всего </w:t>
      </w:r>
      <w:r w:rsidR="00403265" w:rsidRPr="00906EA7">
        <w:rPr>
          <w:rFonts w:ascii="Times New Roman" w:hAnsi="Times New Roman" w:cs="Times New Roman"/>
          <w:sz w:val="24"/>
          <w:szCs w:val="24"/>
        </w:rPr>
        <w:t>50</w:t>
      </w:r>
      <w:r w:rsidRPr="00906EA7">
        <w:rPr>
          <w:rFonts w:ascii="Times New Roman" w:hAnsi="Times New Roman" w:cs="Times New Roman"/>
          <w:sz w:val="24"/>
          <w:szCs w:val="24"/>
        </w:rPr>
        <w:t xml:space="preserve"> педагогов, из них </w:t>
      </w:r>
      <w:r w:rsidR="00403265" w:rsidRPr="00906EA7">
        <w:rPr>
          <w:rFonts w:ascii="Times New Roman" w:hAnsi="Times New Roman" w:cs="Times New Roman"/>
          <w:sz w:val="24"/>
          <w:szCs w:val="24"/>
        </w:rPr>
        <w:t>86</w:t>
      </w:r>
      <w:r w:rsidRPr="00906EA7">
        <w:rPr>
          <w:rFonts w:ascii="Times New Roman" w:hAnsi="Times New Roman" w:cs="Times New Roman"/>
          <w:sz w:val="24"/>
          <w:szCs w:val="24"/>
        </w:rPr>
        <w:t>% имею</w:t>
      </w:r>
      <w:r w:rsidR="00403265" w:rsidRPr="00906EA7">
        <w:rPr>
          <w:rFonts w:ascii="Times New Roman" w:hAnsi="Times New Roman" w:cs="Times New Roman"/>
          <w:sz w:val="24"/>
          <w:szCs w:val="24"/>
        </w:rPr>
        <w:t>т высшее профильное образование</w:t>
      </w:r>
      <w:r w:rsidRPr="00906EA7">
        <w:rPr>
          <w:rFonts w:ascii="Times New Roman" w:hAnsi="Times New Roman" w:cs="Times New Roman"/>
          <w:sz w:val="24"/>
          <w:szCs w:val="24"/>
        </w:rPr>
        <w:t>.</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Дополнительное образование</w:t>
      </w:r>
    </w:p>
    <w:p w:rsidR="00A37066" w:rsidRPr="00906EA7" w:rsidRDefault="00A37066" w:rsidP="0097253F">
      <w:pPr>
        <w:pStyle w:val="msonormalmailrucssattributepostfix"/>
        <w:shd w:val="clear" w:color="auto" w:fill="FFFFFF"/>
        <w:spacing w:before="0" w:beforeAutospacing="0" w:after="0" w:afterAutospacing="0"/>
        <w:ind w:firstLine="708"/>
        <w:jc w:val="both"/>
        <w:rPr>
          <w:lang w:eastAsia="en-US"/>
        </w:rPr>
      </w:pPr>
    </w:p>
    <w:p w:rsidR="00A37066" w:rsidRPr="00906EA7" w:rsidRDefault="000A4D2A"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рамках ведения воспитательной работы образовательными организациями города акцентируется внимание на развитии внеурочной деятельности детей, детского общественного движения. На базе общеобразовательных организаций работают творческие и театральные студии, кружки и секции различной направленности. В 2019 году продолжена реализация инновационного проекта «Фабрика миров», «Робототехника».</w:t>
      </w: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p>
    <w:p w:rsidR="00A37066" w:rsidRPr="00906EA7" w:rsidRDefault="00A37066" w:rsidP="0097253F">
      <w:pPr>
        <w:widowControl w:val="0"/>
        <w:spacing w:after="0" w:line="240" w:lineRule="auto"/>
        <w:ind w:firstLine="709"/>
        <w:jc w:val="center"/>
        <w:rPr>
          <w:rFonts w:ascii="Times New Roman" w:hAnsi="Times New Roman" w:cs="Times New Roman"/>
          <w:bCs/>
          <w:sz w:val="24"/>
          <w:szCs w:val="24"/>
        </w:rPr>
      </w:pPr>
      <w:r w:rsidRPr="00906EA7">
        <w:rPr>
          <w:rFonts w:ascii="Times New Roman" w:hAnsi="Times New Roman" w:cs="Times New Roman"/>
          <w:sz w:val="24"/>
          <w:szCs w:val="24"/>
        </w:rPr>
        <w:t>Охват дополнительным образованием детей</w:t>
      </w:r>
      <w:r w:rsidRPr="00906EA7">
        <w:rPr>
          <w:rFonts w:ascii="Times New Roman" w:hAnsi="Times New Roman" w:cs="Times New Roman"/>
          <w:bCs/>
          <w:sz w:val="24"/>
          <w:szCs w:val="24"/>
        </w:rPr>
        <w:t>, с учетом школьных кружков</w:t>
      </w:r>
    </w:p>
    <w:p w:rsidR="00A37066" w:rsidRPr="00906EA7" w:rsidRDefault="00A37066" w:rsidP="0097253F">
      <w:pPr>
        <w:widowControl w:val="0"/>
        <w:spacing w:after="0" w:line="240" w:lineRule="auto"/>
        <w:ind w:firstLine="709"/>
        <w:jc w:val="center"/>
        <w:rPr>
          <w:rFonts w:ascii="Times New Roman" w:hAnsi="Times New Roman" w:cs="Times New Roman"/>
          <w:bCs/>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512"/>
        <w:gridCol w:w="1512"/>
        <w:gridCol w:w="1512"/>
      </w:tblGrid>
      <w:tr w:rsidR="000A4D2A" w:rsidRPr="00906EA7" w:rsidTr="00A37066">
        <w:trPr>
          <w:trHeight w:val="75"/>
          <w:tblHeader/>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jc w:val="center"/>
              <w:rPr>
                <w:rFonts w:ascii="Times New Roman" w:hAnsi="Times New Roman" w:cs="Times New Roman"/>
                <w:bCs/>
                <w:sz w:val="20"/>
                <w:szCs w:val="20"/>
              </w:rPr>
            </w:pPr>
            <w:r w:rsidRPr="00906EA7">
              <w:rPr>
                <w:rFonts w:ascii="Times New Roman" w:hAnsi="Times New Roman" w:cs="Times New Roman"/>
                <w:bCs/>
                <w:sz w:val="20"/>
                <w:szCs w:val="20"/>
              </w:rPr>
              <w:t>Показатели</w:t>
            </w:r>
          </w:p>
        </w:tc>
        <w:tc>
          <w:tcPr>
            <w:tcW w:w="1512"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jc w:val="center"/>
              <w:rPr>
                <w:rFonts w:ascii="Times New Roman" w:hAnsi="Times New Roman" w:cs="Times New Roman"/>
                <w:bCs/>
                <w:sz w:val="20"/>
                <w:szCs w:val="20"/>
              </w:rPr>
            </w:pPr>
            <w:r w:rsidRPr="00906EA7">
              <w:rPr>
                <w:rFonts w:ascii="Times New Roman" w:hAnsi="Times New Roman" w:cs="Times New Roman"/>
                <w:bCs/>
                <w:sz w:val="20"/>
                <w:szCs w:val="20"/>
              </w:rPr>
              <w:t>2017 год</w:t>
            </w:r>
          </w:p>
        </w:tc>
        <w:tc>
          <w:tcPr>
            <w:tcW w:w="1512"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jc w:val="center"/>
              <w:rPr>
                <w:rFonts w:ascii="Times New Roman" w:hAnsi="Times New Roman" w:cs="Times New Roman"/>
                <w:bCs/>
                <w:sz w:val="20"/>
                <w:szCs w:val="20"/>
              </w:rPr>
            </w:pPr>
            <w:r w:rsidRPr="00906EA7">
              <w:rPr>
                <w:rFonts w:ascii="Times New Roman" w:hAnsi="Times New Roman" w:cs="Times New Roman"/>
                <w:bCs/>
                <w:sz w:val="20"/>
                <w:szCs w:val="20"/>
              </w:rPr>
              <w:t>2018 год</w:t>
            </w:r>
          </w:p>
        </w:tc>
        <w:tc>
          <w:tcPr>
            <w:tcW w:w="1512"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jc w:val="center"/>
              <w:rPr>
                <w:rFonts w:ascii="Times New Roman" w:hAnsi="Times New Roman" w:cs="Times New Roman"/>
                <w:bCs/>
                <w:sz w:val="20"/>
                <w:szCs w:val="20"/>
              </w:rPr>
            </w:pPr>
            <w:r w:rsidRPr="00906EA7">
              <w:rPr>
                <w:rFonts w:ascii="Times New Roman" w:hAnsi="Times New Roman" w:cs="Times New Roman"/>
                <w:bCs/>
                <w:sz w:val="20"/>
                <w:szCs w:val="20"/>
              </w:rPr>
              <w:t>2019</w:t>
            </w:r>
            <w:r w:rsidR="005732DA" w:rsidRPr="00906EA7">
              <w:rPr>
                <w:rFonts w:ascii="Times New Roman" w:hAnsi="Times New Roman" w:cs="Times New Roman"/>
                <w:bCs/>
                <w:sz w:val="20"/>
                <w:szCs w:val="20"/>
                <w:lang w:val="en-US"/>
              </w:rPr>
              <w:t xml:space="preserve"> </w:t>
            </w:r>
            <w:r w:rsidRPr="00906EA7">
              <w:rPr>
                <w:rFonts w:ascii="Times New Roman" w:hAnsi="Times New Roman" w:cs="Times New Roman"/>
                <w:bCs/>
                <w:sz w:val="20"/>
                <w:szCs w:val="20"/>
              </w:rPr>
              <w:t>год</w:t>
            </w:r>
          </w:p>
        </w:tc>
      </w:tr>
      <w:tr w:rsidR="000A4D2A" w:rsidRPr="00906EA7" w:rsidTr="000A4D2A">
        <w:trPr>
          <w:trHeight w:val="262"/>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Всего кружков, из них:</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321</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347</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299</w:t>
            </w:r>
          </w:p>
        </w:tc>
      </w:tr>
      <w:tr w:rsidR="000A4D2A" w:rsidRPr="00906EA7" w:rsidTr="000A4D2A">
        <w:trPr>
          <w:trHeight w:val="252"/>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Технических</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18</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47</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23</w:t>
            </w:r>
          </w:p>
        </w:tc>
      </w:tr>
      <w:tr w:rsidR="000A4D2A" w:rsidRPr="00906EA7" w:rsidTr="000A4D2A">
        <w:trPr>
          <w:trHeight w:val="243"/>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Эколого-биологических</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24</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19</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14</w:t>
            </w:r>
          </w:p>
        </w:tc>
      </w:tr>
      <w:tr w:rsidR="000A4D2A" w:rsidRPr="00906EA7" w:rsidTr="000A4D2A">
        <w:trPr>
          <w:trHeight w:val="364"/>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 xml:space="preserve">Туристко-краеведческих и гражданско-патриотических </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91</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32</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35</w:t>
            </w:r>
          </w:p>
        </w:tc>
      </w:tr>
      <w:tr w:rsidR="000A4D2A" w:rsidRPr="00906EA7" w:rsidTr="000A4D2A">
        <w:trPr>
          <w:trHeight w:val="254"/>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Спортивных</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71</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67</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84</w:t>
            </w:r>
          </w:p>
        </w:tc>
      </w:tr>
      <w:tr w:rsidR="000A4D2A" w:rsidRPr="00906EA7" w:rsidTr="000A4D2A">
        <w:trPr>
          <w:trHeight w:val="258"/>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Художественного творчества</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35</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92</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56</w:t>
            </w:r>
          </w:p>
        </w:tc>
      </w:tr>
      <w:tr w:rsidR="000A4D2A" w:rsidRPr="00906EA7" w:rsidTr="000A4D2A">
        <w:trPr>
          <w:trHeight w:val="248"/>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 xml:space="preserve">Других </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82</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90</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89</w:t>
            </w:r>
          </w:p>
        </w:tc>
      </w:tr>
      <w:tr w:rsidR="000A4D2A" w:rsidRPr="00906EA7" w:rsidTr="000A4D2A">
        <w:trPr>
          <w:trHeight w:val="253"/>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Число посещений занятий</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6584</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6773</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6578</w:t>
            </w:r>
          </w:p>
        </w:tc>
      </w:tr>
    </w:tbl>
    <w:p w:rsidR="00A37066" w:rsidRPr="00906EA7" w:rsidRDefault="00A37066" w:rsidP="0097253F">
      <w:pPr>
        <w:widowControl w:val="0"/>
        <w:tabs>
          <w:tab w:val="left" w:pos="851"/>
        </w:tabs>
        <w:spacing w:after="0" w:line="240" w:lineRule="auto"/>
        <w:ind w:firstLine="708"/>
        <w:jc w:val="both"/>
        <w:rPr>
          <w:rFonts w:ascii="Times New Roman" w:hAnsi="Times New Roman" w:cs="Times New Roman"/>
          <w:sz w:val="24"/>
          <w:szCs w:val="24"/>
        </w:rPr>
      </w:pPr>
    </w:p>
    <w:p w:rsidR="000A4D2A" w:rsidRPr="00906EA7" w:rsidRDefault="000A4D2A" w:rsidP="0097253F">
      <w:pPr>
        <w:widowControl w:val="0"/>
        <w:tabs>
          <w:tab w:val="left" w:pos="851"/>
        </w:tabs>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Уменьшение количества кружков связано с социальным заказом со стороны детей и их родителей (- 13%), при этом охват обучающихся снизился незначительно (-2%).</w:t>
      </w:r>
    </w:p>
    <w:p w:rsidR="000A4D2A" w:rsidRPr="00906EA7" w:rsidRDefault="000A4D2A" w:rsidP="0097253F">
      <w:pPr>
        <w:widowControl w:val="0"/>
        <w:tabs>
          <w:tab w:val="left" w:pos="851"/>
        </w:tabs>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 итогам 2019 года показатель «Доля детей в возрасте от 5 до 18 лет, охваченных дополнительным образованием» регионального проекта «Успех каждого ребенка» Национального проекта «Образование», составил 90%.</w:t>
      </w:r>
    </w:p>
    <w:p w:rsidR="00315137" w:rsidRDefault="00315137" w:rsidP="0097253F">
      <w:pPr>
        <w:widowControl w:val="0"/>
        <w:tabs>
          <w:tab w:val="left" w:pos="709"/>
        </w:tabs>
        <w:spacing w:after="0" w:line="240" w:lineRule="auto"/>
        <w:ind w:firstLine="709"/>
        <w:jc w:val="center"/>
        <w:rPr>
          <w:rFonts w:ascii="Times New Roman" w:hAnsi="Times New Roman" w:cs="Times New Roman"/>
          <w:sz w:val="24"/>
          <w:szCs w:val="24"/>
        </w:rPr>
      </w:pPr>
    </w:p>
    <w:p w:rsidR="00A37066" w:rsidRPr="00906EA7" w:rsidRDefault="00A37066" w:rsidP="0097253F">
      <w:pPr>
        <w:widowControl w:val="0"/>
        <w:tabs>
          <w:tab w:val="left" w:pos="709"/>
        </w:tabs>
        <w:spacing w:after="0" w:line="240" w:lineRule="auto"/>
        <w:ind w:firstLine="709"/>
        <w:jc w:val="center"/>
        <w:rPr>
          <w:rFonts w:ascii="Times New Roman" w:eastAsia="Calibri" w:hAnsi="Times New Roman" w:cs="Times New Roman"/>
          <w:sz w:val="24"/>
          <w:szCs w:val="24"/>
        </w:rPr>
      </w:pPr>
      <w:r w:rsidRPr="00906EA7">
        <w:rPr>
          <w:rFonts w:ascii="Times New Roman" w:hAnsi="Times New Roman" w:cs="Times New Roman"/>
          <w:sz w:val="24"/>
          <w:szCs w:val="24"/>
        </w:rPr>
        <w:t>Показатели по мероприятиям за 201</w:t>
      </w:r>
      <w:r w:rsidR="007A0745" w:rsidRPr="00906EA7">
        <w:rPr>
          <w:rFonts w:ascii="Times New Roman" w:hAnsi="Times New Roman" w:cs="Times New Roman"/>
          <w:sz w:val="24"/>
          <w:szCs w:val="24"/>
        </w:rPr>
        <w:t>7</w:t>
      </w:r>
      <w:r w:rsidRPr="00906EA7">
        <w:rPr>
          <w:rFonts w:ascii="Times New Roman" w:hAnsi="Times New Roman" w:cs="Times New Roman"/>
          <w:sz w:val="24"/>
          <w:szCs w:val="24"/>
        </w:rPr>
        <w:t>-201</w:t>
      </w:r>
      <w:r w:rsidR="007A0745"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widowControl w:val="0"/>
        <w:tabs>
          <w:tab w:val="left" w:pos="709"/>
        </w:tabs>
        <w:spacing w:after="0" w:line="240" w:lineRule="auto"/>
        <w:jc w:val="both"/>
        <w:rPr>
          <w:rFonts w:ascii="Times New Roman" w:eastAsia="Calibri" w:hAnsi="Times New Roman" w:cs="Times New Roman"/>
          <w:sz w:val="24"/>
          <w:szCs w:val="24"/>
        </w:rPr>
      </w:pPr>
    </w:p>
    <w:tbl>
      <w:tblPr>
        <w:tblStyle w:val="a3"/>
        <w:tblW w:w="0" w:type="auto"/>
        <w:tblInd w:w="0" w:type="dxa"/>
        <w:tblLayout w:type="fixed"/>
        <w:tblLook w:val="04A0" w:firstRow="1" w:lastRow="0" w:firstColumn="1" w:lastColumn="0" w:noHBand="0" w:noVBand="1"/>
      </w:tblPr>
      <w:tblGrid>
        <w:gridCol w:w="1951"/>
        <w:gridCol w:w="1209"/>
        <w:gridCol w:w="1366"/>
        <w:gridCol w:w="1298"/>
        <w:gridCol w:w="1366"/>
        <w:gridCol w:w="1298"/>
        <w:gridCol w:w="1366"/>
      </w:tblGrid>
      <w:tr w:rsidR="007A0745" w:rsidRPr="00906EA7" w:rsidTr="00957954">
        <w:trPr>
          <w:trHeight w:val="179"/>
          <w:tblHeader/>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7A0745" w:rsidRPr="00906EA7" w:rsidRDefault="007A0745" w:rsidP="0097253F">
            <w:pPr>
              <w:pStyle w:val="ae"/>
              <w:spacing w:before="0" w:beforeAutospacing="0" w:after="0" w:afterAutospacing="0"/>
              <w:jc w:val="center"/>
              <w:rPr>
                <w:lang w:eastAsia="en-US"/>
              </w:rPr>
            </w:pPr>
          </w:p>
        </w:tc>
        <w:tc>
          <w:tcPr>
            <w:tcW w:w="2575" w:type="dxa"/>
            <w:gridSpan w:val="2"/>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2017 год</w:t>
            </w: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2018 год</w:t>
            </w: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201</w:t>
            </w:r>
            <w:r w:rsidRPr="00906EA7">
              <w:rPr>
                <w:lang w:val="en-US"/>
              </w:rPr>
              <w:t>9</w:t>
            </w:r>
            <w:r w:rsidRPr="00906EA7">
              <w:t xml:space="preserve"> год</w:t>
            </w:r>
          </w:p>
        </w:tc>
      </w:tr>
      <w:tr w:rsidR="00A37066" w:rsidRPr="00906EA7" w:rsidTr="00957954">
        <w:trPr>
          <w:trHeight w:val="146"/>
          <w:tblHead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rPr>
                <w:rFonts w:ascii="Times New Roman" w:eastAsia="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Выставки, фестивали, конкурсы, ед.</w:t>
            </w:r>
          </w:p>
        </w:tc>
        <w:tc>
          <w:tcPr>
            <w:tcW w:w="1366"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Количество призеров, человек</w:t>
            </w:r>
          </w:p>
        </w:tc>
        <w:tc>
          <w:tcPr>
            <w:tcW w:w="1298"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Выставки, фестивали, конкурсы, ед.</w:t>
            </w:r>
          </w:p>
        </w:tc>
        <w:tc>
          <w:tcPr>
            <w:tcW w:w="1366"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Количество призеров, человек</w:t>
            </w:r>
          </w:p>
        </w:tc>
        <w:tc>
          <w:tcPr>
            <w:tcW w:w="1298"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Выставки, фестивали, конкурсы, ед.</w:t>
            </w:r>
          </w:p>
        </w:tc>
        <w:tc>
          <w:tcPr>
            <w:tcW w:w="1366"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Количество призеров, человек</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Международные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114</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252</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73</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136</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63</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450</w:t>
            </w:r>
          </w:p>
        </w:tc>
      </w:tr>
      <w:tr w:rsidR="007A0745" w:rsidRPr="00906EA7" w:rsidTr="007A0745">
        <w:trPr>
          <w:trHeight w:val="289"/>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Всероссийские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44</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154</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37</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170</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60</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522</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Региональные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26</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50</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78</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194</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35</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114</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Окружные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10</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34</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66</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198</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37</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149</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Городские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38</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205</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32</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238</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39</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236</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Школьные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30</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348</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29</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429</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52</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228</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rPr>
                <w:lang w:eastAsia="en-US"/>
              </w:rPr>
            </w:pPr>
            <w:r w:rsidRPr="00906EA7">
              <w:t>Всего</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jc w:val="center"/>
              <w:rPr>
                <w:rFonts w:eastAsia="Calibri"/>
                <w:lang w:eastAsia="en-US"/>
              </w:rPr>
            </w:pPr>
            <w:r w:rsidRPr="00906EA7">
              <w:rPr>
                <w:rFonts w:eastAsia="Calibri"/>
              </w:rPr>
              <w:t>262</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1043</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315</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1365</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286</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1699</w:t>
            </w:r>
          </w:p>
        </w:tc>
      </w:tr>
    </w:tbl>
    <w:p w:rsidR="00A37066" w:rsidRPr="00906EA7" w:rsidRDefault="00A37066" w:rsidP="0097253F">
      <w:pPr>
        <w:widowControl w:val="0"/>
        <w:spacing w:after="0" w:line="240" w:lineRule="auto"/>
        <w:ind w:firstLine="709"/>
        <w:jc w:val="both"/>
        <w:rPr>
          <w:rFonts w:ascii="Times New Roman" w:hAnsi="Times New Roman" w:cs="Times New Roman"/>
          <w:sz w:val="24"/>
          <w:szCs w:val="24"/>
          <w:shd w:val="clear" w:color="auto" w:fill="FFFFFF"/>
        </w:rPr>
      </w:pPr>
    </w:p>
    <w:p w:rsidR="007A0745" w:rsidRPr="00906EA7" w:rsidRDefault="007A0745" w:rsidP="0097253F">
      <w:pPr>
        <w:widowControl w:val="0"/>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учреждениях дополнительного образования в сфере культуры в 2019-2020 учебном году обучаются 1 533 человек, в 2018-2019 учебном году – 1 471 человек. Из них 816 обучаются по предпрофессиональным программам. Этот показатель ежегодно увеличивается по мере поступления детей в школы искусств. Стабильны показатели по количеству детей, получающих платные услуги (реализация дополнительных общеразвивающих программ для детей 4-6 лет). 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rsidR="007A0745" w:rsidRPr="00906EA7" w:rsidRDefault="007A0745" w:rsidP="0097253F">
      <w:pPr>
        <w:widowControl w:val="0"/>
        <w:tabs>
          <w:tab w:val="left" w:pos="709"/>
        </w:tabs>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Детские школы искусств организуют проведение городских, региональных конкурсов, фестивалей («Вечёрки», «Русская душа», «Планета детства», «Фейерверк», «ВундерКиндер»). Ежегодно около 730 детей встречаются на площадках в городе Мегионе и поселке городского типа Высокий для творческого общения и роста.</w:t>
      </w:r>
    </w:p>
    <w:p w:rsidR="007A0745" w:rsidRPr="00906EA7" w:rsidRDefault="007A0745"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Уменьшение количества победителей международных и всероссийских конкурсов обусловлено, в первую очередь, отказом учреждений в участии в коммерческих и виртуальных конкурсах. С другой стороны, значительно повысился показатель участия в мероприятиях регионального и городского уровней. В региональных мероприятиях, более 32% участников становятся победителями.</w:t>
      </w:r>
    </w:p>
    <w:p w:rsidR="007A0745" w:rsidRPr="00906EA7" w:rsidRDefault="007A0745" w:rsidP="0097253F">
      <w:pPr>
        <w:keepNext/>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Наряду с образовательной деятельностью в школах большое значение уделяется воспитательной работе.</w:t>
      </w:r>
    </w:p>
    <w:p w:rsidR="007A0745" w:rsidRPr="00906EA7" w:rsidRDefault="007A0745" w:rsidP="0097253F">
      <w:pPr>
        <w:widowControl w:val="0"/>
        <w:spacing w:after="0" w:line="240" w:lineRule="auto"/>
        <w:ind w:firstLine="709"/>
        <w:jc w:val="both"/>
        <w:rPr>
          <w:rFonts w:ascii="Times New Roman" w:hAnsi="Times New Roman" w:cs="Times New Roman"/>
          <w:bCs/>
          <w:sz w:val="24"/>
          <w:szCs w:val="24"/>
        </w:rPr>
      </w:pPr>
      <w:r w:rsidRPr="00906EA7">
        <w:rPr>
          <w:rFonts w:ascii="Times New Roman" w:eastAsia="Calibri" w:hAnsi="Times New Roman" w:cs="Times New Roman"/>
          <w:sz w:val="24"/>
          <w:szCs w:val="24"/>
        </w:rPr>
        <w:t>Ежегодно на базе школ организуются летние творческие площадки для детей и молодежи по разным направлениям искусства.</w:t>
      </w:r>
    </w:p>
    <w:p w:rsidR="007A0745" w:rsidRPr="00906EA7" w:rsidRDefault="007A0745"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Высокий показатель качества обучения обусловлен повышением квалификации и профессиональной переподготовкой работников. В 2019 году 32 человека прошли повышение квалификации, что соответствует 100% от запланированного количества.</w:t>
      </w:r>
    </w:p>
    <w:p w:rsidR="00A37066" w:rsidRPr="00906EA7" w:rsidRDefault="00A37066"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По состоянию на 01.01.20</w:t>
      </w:r>
      <w:r w:rsidR="007A0745" w:rsidRPr="00906EA7">
        <w:rPr>
          <w:rFonts w:ascii="Times New Roman" w:eastAsia="Calibri Light" w:hAnsi="Times New Roman" w:cs="Times New Roman"/>
          <w:sz w:val="24"/>
          <w:szCs w:val="24"/>
        </w:rPr>
        <w:t>20</w:t>
      </w:r>
      <w:r w:rsidRPr="00906EA7">
        <w:rPr>
          <w:rFonts w:ascii="Times New Roman" w:eastAsia="Calibri Light" w:hAnsi="Times New Roman" w:cs="Times New Roman"/>
          <w:sz w:val="24"/>
          <w:szCs w:val="24"/>
        </w:rPr>
        <w:t xml:space="preserve"> дополнительное образование  в сфере физической культуры и спорта осуществляют 2 спортивные школы:</w:t>
      </w:r>
    </w:p>
    <w:p w:rsidR="00A37066" w:rsidRPr="00906EA7" w:rsidRDefault="00A37066"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муниципальное бюджетное учреждение дополнительного образования «Детско-юношеская спортивная школа «Вымпел»;</w:t>
      </w:r>
    </w:p>
    <w:p w:rsidR="00A37066" w:rsidRPr="00906EA7" w:rsidRDefault="00A37066"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муниципальное автономное учреждение дополнительного образования «Детско-юношеская спортивная школа «Юность».</w:t>
      </w:r>
    </w:p>
    <w:p w:rsidR="00A37066" w:rsidRPr="00906EA7" w:rsidRDefault="00A37066" w:rsidP="0097253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6EA7">
        <w:rPr>
          <w:rFonts w:ascii="Times New Roman" w:hAnsi="Times New Roman" w:cs="Times New Roman"/>
          <w:bCs/>
          <w:sz w:val="24"/>
          <w:szCs w:val="24"/>
        </w:rPr>
        <w:t>Общее число занимающихся в муниципальных спортивных учреждениях в 201</w:t>
      </w:r>
      <w:r w:rsidR="00E54016" w:rsidRPr="00906EA7">
        <w:rPr>
          <w:rFonts w:ascii="Times New Roman" w:hAnsi="Times New Roman" w:cs="Times New Roman"/>
          <w:bCs/>
          <w:sz w:val="24"/>
          <w:szCs w:val="24"/>
        </w:rPr>
        <w:t>9</w:t>
      </w:r>
      <w:r w:rsidRPr="00906EA7">
        <w:rPr>
          <w:rFonts w:ascii="Times New Roman" w:hAnsi="Times New Roman" w:cs="Times New Roman"/>
          <w:bCs/>
          <w:sz w:val="24"/>
          <w:szCs w:val="24"/>
        </w:rPr>
        <w:t xml:space="preserve"> году увеличилось на </w:t>
      </w:r>
      <w:r w:rsidR="00E54016" w:rsidRPr="00906EA7">
        <w:rPr>
          <w:rFonts w:ascii="Times New Roman" w:hAnsi="Times New Roman" w:cs="Times New Roman"/>
          <w:bCs/>
          <w:sz w:val="24"/>
          <w:szCs w:val="24"/>
        </w:rPr>
        <w:t>6,6</w:t>
      </w:r>
      <w:r w:rsidRPr="00906EA7">
        <w:rPr>
          <w:rFonts w:ascii="Times New Roman" w:hAnsi="Times New Roman" w:cs="Times New Roman"/>
          <w:bCs/>
          <w:sz w:val="24"/>
          <w:szCs w:val="24"/>
        </w:rPr>
        <w:t xml:space="preserve">% и составляет </w:t>
      </w:r>
      <w:r w:rsidR="00E54016" w:rsidRPr="00906EA7">
        <w:rPr>
          <w:rFonts w:ascii="Times New Roman" w:hAnsi="Times New Roman" w:cs="Times New Roman"/>
          <w:bCs/>
          <w:sz w:val="24"/>
          <w:szCs w:val="24"/>
        </w:rPr>
        <w:t>3627</w:t>
      </w:r>
      <w:r w:rsidRPr="00906EA7">
        <w:rPr>
          <w:rFonts w:ascii="Times New Roman" w:hAnsi="Times New Roman" w:cs="Times New Roman"/>
          <w:bCs/>
          <w:sz w:val="24"/>
          <w:szCs w:val="24"/>
        </w:rPr>
        <w:t xml:space="preserve"> человек. В 201</w:t>
      </w:r>
      <w:r w:rsidR="00E54016" w:rsidRPr="00906EA7">
        <w:rPr>
          <w:rFonts w:ascii="Times New Roman" w:hAnsi="Times New Roman" w:cs="Times New Roman"/>
          <w:bCs/>
          <w:sz w:val="24"/>
          <w:szCs w:val="24"/>
        </w:rPr>
        <w:t>8</w:t>
      </w:r>
      <w:r w:rsidRPr="00906EA7">
        <w:rPr>
          <w:rFonts w:ascii="Times New Roman" w:hAnsi="Times New Roman" w:cs="Times New Roman"/>
          <w:bCs/>
          <w:sz w:val="24"/>
          <w:szCs w:val="24"/>
        </w:rPr>
        <w:t xml:space="preserve"> году 3 </w:t>
      </w:r>
      <w:r w:rsidR="00E54016" w:rsidRPr="00906EA7">
        <w:rPr>
          <w:rFonts w:ascii="Times New Roman" w:hAnsi="Times New Roman" w:cs="Times New Roman"/>
          <w:bCs/>
          <w:sz w:val="24"/>
          <w:szCs w:val="24"/>
        </w:rPr>
        <w:t>403</w:t>
      </w:r>
      <w:r w:rsidRPr="00906EA7">
        <w:rPr>
          <w:rFonts w:ascii="Times New Roman" w:hAnsi="Times New Roman" w:cs="Times New Roman"/>
          <w:bCs/>
          <w:sz w:val="24"/>
          <w:szCs w:val="24"/>
        </w:rPr>
        <w:t xml:space="preserve"> человек</w:t>
      </w:r>
      <w:r w:rsidR="00E54016" w:rsidRPr="00906EA7">
        <w:rPr>
          <w:rFonts w:ascii="Times New Roman" w:hAnsi="Times New Roman" w:cs="Times New Roman"/>
          <w:bCs/>
          <w:sz w:val="24"/>
          <w:szCs w:val="24"/>
        </w:rPr>
        <w:t>а</w:t>
      </w:r>
      <w:r w:rsidRPr="00906EA7">
        <w:rPr>
          <w:rFonts w:ascii="Times New Roman" w:hAnsi="Times New Roman" w:cs="Times New Roman"/>
          <w:bCs/>
          <w:sz w:val="24"/>
          <w:szCs w:val="24"/>
        </w:rPr>
        <w:t>.</w:t>
      </w:r>
    </w:p>
    <w:p w:rsidR="00A37066" w:rsidRPr="00906EA7" w:rsidRDefault="00A37066" w:rsidP="0097253F">
      <w:pPr>
        <w:spacing w:after="0" w:line="240" w:lineRule="auto"/>
        <w:ind w:firstLine="709"/>
        <w:jc w:val="both"/>
        <w:rPr>
          <w:rFonts w:ascii="Times New Roman" w:eastAsia="Times New Roman" w:hAnsi="Times New Roman" w:cs="Times New Roman"/>
          <w:b/>
          <w:sz w:val="24"/>
          <w:szCs w:val="24"/>
          <w:lang w:eastAsia="ru-RU"/>
        </w:rPr>
      </w:pPr>
      <w:r w:rsidRPr="00906EA7">
        <w:rPr>
          <w:rFonts w:ascii="Times New Roman" w:eastAsia="Times New Roman" w:hAnsi="Times New Roman" w:cs="Times New Roman"/>
          <w:sz w:val="24"/>
          <w:szCs w:val="24"/>
          <w:lang w:eastAsia="ru-RU"/>
        </w:rPr>
        <w:t>В учреждениях, осуществляющих подготовку спортивного резерва развиваются следующие виды спорта: баскетбол, бокс, волейбол, дзюдо, самбо,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легкая атлетика, настольный теннис, полиатлон, прыжки на батуте, рукопашный бой, теннис, тяжелая атлетика, адаптивный спорт, черлидинг.</w:t>
      </w:r>
    </w:p>
    <w:p w:rsidR="00A37066" w:rsidRPr="00906EA7" w:rsidRDefault="00A37066" w:rsidP="00315137">
      <w:pPr>
        <w:spacing w:after="0" w:line="240" w:lineRule="auto"/>
        <w:jc w:val="both"/>
        <w:rPr>
          <w:rFonts w:ascii="Times New Roman" w:eastAsia="Times New Roman" w:hAnsi="Times New Roman" w:cs="Times New Roman"/>
          <w:bCs/>
          <w:sz w:val="24"/>
          <w:szCs w:val="24"/>
          <w:lang w:eastAsia="ru-RU"/>
        </w:rPr>
      </w:pPr>
      <w:r w:rsidRPr="00906EA7">
        <w:rPr>
          <w:rFonts w:ascii="Times New Roman" w:eastAsia="Calibri Light" w:hAnsi="Times New Roman" w:cs="Times New Roman"/>
          <w:szCs w:val="24"/>
        </w:rPr>
        <w:tab/>
      </w:r>
      <w:r w:rsidRPr="00906EA7">
        <w:rPr>
          <w:rFonts w:ascii="Times New Roman" w:eastAsia="Times New Roman" w:hAnsi="Times New Roman" w:cs="Times New Roman"/>
          <w:snapToGrid w:val="0"/>
          <w:sz w:val="24"/>
          <w:szCs w:val="24"/>
          <w:lang w:eastAsia="ru-RU"/>
        </w:rPr>
        <w:t xml:space="preserve"> </w:t>
      </w:r>
      <w:r w:rsidRPr="00906EA7">
        <w:rPr>
          <w:rFonts w:ascii="Times New Roman" w:eastAsia="Times New Roman" w:hAnsi="Times New Roman" w:cs="Times New Roman"/>
          <w:bCs/>
          <w:sz w:val="24"/>
          <w:szCs w:val="24"/>
          <w:lang w:eastAsia="ru-RU"/>
        </w:rPr>
        <w:t>Профессиональное образование</w:t>
      </w:r>
    </w:p>
    <w:p w:rsidR="009A1AF6" w:rsidRPr="00906EA7" w:rsidRDefault="009A1AF6" w:rsidP="0097253F">
      <w:pPr>
        <w:spacing w:after="0" w:line="240" w:lineRule="auto"/>
        <w:ind w:firstLine="539"/>
        <w:contextualSpacing/>
        <w:jc w:val="both"/>
        <w:rPr>
          <w:rFonts w:ascii="Times New Roman" w:eastAsia="Times New Roman" w:hAnsi="Times New Roman" w:cs="Times New Roman"/>
          <w:bCs/>
          <w:sz w:val="24"/>
          <w:szCs w:val="24"/>
          <w:lang w:eastAsia="ru-RU"/>
        </w:rPr>
      </w:pP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На территории городского округа город Мегион профессиональное обучение осуществляется на базе бюджетного учреждения профессионального образования Ханты-Мансийского автономного округа – Югры «Мегионский политехнический колледж».</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обучающихся на 01.01.20</w:t>
      </w:r>
      <w:r w:rsidR="00AB298F" w:rsidRPr="00906EA7">
        <w:rPr>
          <w:rFonts w:ascii="Times New Roman" w:eastAsia="Times New Roman" w:hAnsi="Times New Roman" w:cs="Times New Roman"/>
          <w:sz w:val="24"/>
          <w:szCs w:val="24"/>
          <w:lang w:eastAsia="ru-RU"/>
        </w:rPr>
        <w:t>20</w:t>
      </w:r>
      <w:r w:rsidRPr="00906EA7">
        <w:rPr>
          <w:rFonts w:ascii="Times New Roman" w:eastAsia="Times New Roman" w:hAnsi="Times New Roman" w:cs="Times New Roman"/>
          <w:sz w:val="24"/>
          <w:szCs w:val="24"/>
          <w:lang w:eastAsia="ru-RU"/>
        </w:rPr>
        <w:t xml:space="preserve"> составляет </w:t>
      </w:r>
      <w:r w:rsidR="00AB298F" w:rsidRPr="00906EA7">
        <w:rPr>
          <w:rFonts w:ascii="Times New Roman" w:eastAsia="Times New Roman" w:hAnsi="Times New Roman" w:cs="Times New Roman"/>
          <w:sz w:val="24"/>
          <w:szCs w:val="24"/>
          <w:lang w:eastAsia="ru-RU"/>
        </w:rPr>
        <w:t>725</w:t>
      </w:r>
      <w:r w:rsidRPr="00906EA7">
        <w:rPr>
          <w:rFonts w:ascii="Times New Roman" w:eastAsia="Times New Roman" w:hAnsi="Times New Roman" w:cs="Times New Roman"/>
          <w:sz w:val="24"/>
          <w:szCs w:val="24"/>
          <w:lang w:eastAsia="ru-RU"/>
        </w:rPr>
        <w:t xml:space="preserve"> человек, </w:t>
      </w:r>
      <w:r w:rsidR="00AB298F" w:rsidRPr="00906EA7">
        <w:rPr>
          <w:rFonts w:ascii="Times New Roman" w:eastAsia="Times New Roman" w:hAnsi="Times New Roman" w:cs="Times New Roman"/>
          <w:sz w:val="24"/>
          <w:szCs w:val="24"/>
          <w:lang w:eastAsia="ru-RU"/>
        </w:rPr>
        <w:t xml:space="preserve">что </w:t>
      </w:r>
      <w:r w:rsidRPr="00906EA7">
        <w:rPr>
          <w:rFonts w:ascii="Times New Roman" w:eastAsia="Times New Roman" w:hAnsi="Times New Roman" w:cs="Times New Roman"/>
          <w:sz w:val="24"/>
          <w:szCs w:val="24"/>
          <w:lang w:eastAsia="ru-RU"/>
        </w:rPr>
        <w:t xml:space="preserve">на </w:t>
      </w:r>
      <w:r w:rsidR="00AB298F" w:rsidRPr="00906EA7">
        <w:rPr>
          <w:rFonts w:ascii="Times New Roman" w:eastAsia="Times New Roman" w:hAnsi="Times New Roman" w:cs="Times New Roman"/>
          <w:sz w:val="24"/>
          <w:szCs w:val="24"/>
          <w:lang w:eastAsia="ru-RU"/>
        </w:rPr>
        <w:t>1,09</w:t>
      </w:r>
      <w:r w:rsidRPr="00906EA7">
        <w:rPr>
          <w:rFonts w:ascii="Times New Roman" w:eastAsia="Times New Roman" w:hAnsi="Times New Roman" w:cs="Times New Roman"/>
          <w:sz w:val="24"/>
          <w:szCs w:val="24"/>
          <w:lang w:eastAsia="ru-RU"/>
        </w:rPr>
        <w:t xml:space="preserve">% </w:t>
      </w:r>
      <w:r w:rsidR="00AB298F" w:rsidRPr="00906EA7">
        <w:rPr>
          <w:rFonts w:ascii="Times New Roman" w:eastAsia="Times New Roman" w:hAnsi="Times New Roman" w:cs="Times New Roman"/>
          <w:sz w:val="24"/>
          <w:szCs w:val="24"/>
          <w:lang w:eastAsia="ru-RU"/>
        </w:rPr>
        <w:t>ниже</w:t>
      </w:r>
      <w:r w:rsidRPr="00906EA7">
        <w:rPr>
          <w:rFonts w:ascii="Times New Roman" w:eastAsia="Times New Roman" w:hAnsi="Times New Roman" w:cs="Times New Roman"/>
          <w:sz w:val="24"/>
          <w:szCs w:val="24"/>
          <w:lang w:eastAsia="ru-RU"/>
        </w:rPr>
        <w:t xml:space="preserve"> числа студентов в 201</w:t>
      </w:r>
      <w:r w:rsidR="00AB298F"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Из них </w:t>
      </w:r>
      <w:r w:rsidR="00AB298F" w:rsidRPr="00906EA7">
        <w:rPr>
          <w:rFonts w:ascii="Times New Roman" w:eastAsia="Times New Roman" w:hAnsi="Times New Roman" w:cs="Times New Roman"/>
          <w:sz w:val="24"/>
          <w:szCs w:val="24"/>
          <w:lang w:eastAsia="ru-RU"/>
        </w:rPr>
        <w:t>93,8</w:t>
      </w:r>
      <w:r w:rsidRPr="00906EA7">
        <w:rPr>
          <w:rFonts w:ascii="Times New Roman" w:eastAsia="Times New Roman" w:hAnsi="Times New Roman" w:cs="Times New Roman"/>
          <w:sz w:val="24"/>
          <w:szCs w:val="24"/>
          <w:lang w:eastAsia="ru-RU"/>
        </w:rPr>
        <w:t>%, или же 6</w:t>
      </w:r>
      <w:r w:rsidR="00AB298F"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0 студентов, обучаются на очном отделении, </w:t>
      </w:r>
      <w:r w:rsidR="00AB298F" w:rsidRPr="00906EA7">
        <w:rPr>
          <w:rFonts w:ascii="Times New Roman" w:eastAsia="Times New Roman" w:hAnsi="Times New Roman" w:cs="Times New Roman"/>
          <w:sz w:val="24"/>
          <w:szCs w:val="24"/>
          <w:lang w:eastAsia="ru-RU"/>
        </w:rPr>
        <w:t>6,2</w:t>
      </w:r>
      <w:r w:rsidRPr="00906EA7">
        <w:rPr>
          <w:rFonts w:ascii="Times New Roman" w:eastAsia="Times New Roman" w:hAnsi="Times New Roman" w:cs="Times New Roman"/>
          <w:sz w:val="24"/>
          <w:szCs w:val="24"/>
          <w:lang w:eastAsia="ru-RU"/>
        </w:rPr>
        <w:t xml:space="preserve">%, или </w:t>
      </w:r>
      <w:r w:rsidR="00AB298F" w:rsidRPr="00906EA7">
        <w:rPr>
          <w:rFonts w:ascii="Times New Roman" w:eastAsia="Times New Roman" w:hAnsi="Times New Roman" w:cs="Times New Roman"/>
          <w:sz w:val="24"/>
          <w:szCs w:val="24"/>
          <w:lang w:eastAsia="ru-RU"/>
        </w:rPr>
        <w:t>45</w:t>
      </w:r>
      <w:r w:rsidRPr="00906EA7">
        <w:rPr>
          <w:rFonts w:ascii="Times New Roman" w:eastAsia="Times New Roman" w:hAnsi="Times New Roman" w:cs="Times New Roman"/>
          <w:sz w:val="24"/>
          <w:szCs w:val="24"/>
          <w:lang w:eastAsia="ru-RU"/>
        </w:rPr>
        <w:t xml:space="preserve"> студент</w:t>
      </w:r>
      <w:r w:rsidR="00AB298F" w:rsidRPr="00906EA7">
        <w:rPr>
          <w:rFonts w:ascii="Times New Roman" w:eastAsia="Times New Roman" w:hAnsi="Times New Roman" w:cs="Times New Roman"/>
          <w:sz w:val="24"/>
          <w:szCs w:val="24"/>
          <w:lang w:eastAsia="ru-RU"/>
        </w:rPr>
        <w:t>ов</w:t>
      </w:r>
      <w:r w:rsidRPr="00906EA7">
        <w:rPr>
          <w:rFonts w:ascii="Times New Roman" w:eastAsia="Times New Roman" w:hAnsi="Times New Roman" w:cs="Times New Roman"/>
          <w:sz w:val="24"/>
          <w:szCs w:val="24"/>
          <w:lang w:eastAsia="ru-RU"/>
        </w:rPr>
        <w:t>, на заочном отделении.</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w:t>
      </w:r>
      <w:r w:rsidR="00AB298F"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число студентов составляло </w:t>
      </w:r>
      <w:r w:rsidR="00AB298F"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 xml:space="preserve">33 человека, из них в заочном отделении </w:t>
      </w:r>
      <w:r w:rsidR="00AB298F" w:rsidRPr="00906EA7">
        <w:rPr>
          <w:rFonts w:ascii="Times New Roman" w:eastAsia="Times New Roman" w:hAnsi="Times New Roman" w:cs="Times New Roman"/>
          <w:sz w:val="24"/>
          <w:szCs w:val="24"/>
          <w:lang w:eastAsia="ru-RU"/>
        </w:rPr>
        <w:t>45</w:t>
      </w:r>
      <w:r w:rsidRPr="00906EA7">
        <w:rPr>
          <w:rFonts w:ascii="Times New Roman" w:eastAsia="Times New Roman" w:hAnsi="Times New Roman" w:cs="Times New Roman"/>
          <w:sz w:val="24"/>
          <w:szCs w:val="24"/>
          <w:lang w:eastAsia="ru-RU"/>
        </w:rPr>
        <w:t xml:space="preserve"> человек.</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Обучение ведется по следующим направлениям:</w:t>
      </w:r>
    </w:p>
    <w:p w:rsidR="00A37066" w:rsidRPr="00906EA7" w:rsidRDefault="00A37066" w:rsidP="0097253F">
      <w:pPr>
        <w:spacing w:after="0" w:line="240" w:lineRule="auto"/>
        <w:ind w:firstLine="709"/>
        <w:jc w:val="right"/>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человек</w:t>
      </w:r>
    </w:p>
    <w:tbl>
      <w:tblPr>
        <w:tblW w:w="9659" w:type="dxa"/>
        <w:tblLook w:val="04A0" w:firstRow="1" w:lastRow="0" w:firstColumn="1" w:lastColumn="0" w:noHBand="0" w:noVBand="1"/>
      </w:tblPr>
      <w:tblGrid>
        <w:gridCol w:w="4316"/>
        <w:gridCol w:w="1781"/>
        <w:gridCol w:w="1781"/>
        <w:gridCol w:w="1781"/>
      </w:tblGrid>
      <w:tr w:rsidR="00AB298F" w:rsidRPr="00906EA7" w:rsidTr="00AB298F">
        <w:trPr>
          <w:trHeight w:val="156"/>
          <w:tblHeader/>
        </w:trPr>
        <w:tc>
          <w:tcPr>
            <w:tcW w:w="4316" w:type="dxa"/>
            <w:tcBorders>
              <w:top w:val="single" w:sz="4" w:space="0" w:color="auto"/>
              <w:left w:val="single" w:sz="4" w:space="0" w:color="auto"/>
              <w:bottom w:val="single" w:sz="4" w:space="0" w:color="auto"/>
              <w:right w:val="single" w:sz="4" w:space="0" w:color="auto"/>
            </w:tcBorders>
            <w:vAlign w:val="center"/>
            <w:hideMark/>
          </w:tcPr>
          <w:p w:rsidR="00AB298F" w:rsidRPr="00906EA7" w:rsidRDefault="00AB298F"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Показатели</w:t>
            </w:r>
          </w:p>
        </w:tc>
        <w:tc>
          <w:tcPr>
            <w:tcW w:w="1781" w:type="dxa"/>
            <w:tcBorders>
              <w:top w:val="single" w:sz="4" w:space="0" w:color="auto"/>
              <w:left w:val="single" w:sz="4" w:space="0" w:color="auto"/>
              <w:bottom w:val="single" w:sz="4" w:space="0" w:color="auto"/>
              <w:right w:val="single" w:sz="4" w:space="0" w:color="auto"/>
            </w:tcBorders>
            <w:vAlign w:val="center"/>
          </w:tcPr>
          <w:p w:rsidR="00AB298F" w:rsidRPr="00906EA7" w:rsidRDefault="00AB298F"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на 01.01.2019</w:t>
            </w:r>
          </w:p>
        </w:tc>
        <w:tc>
          <w:tcPr>
            <w:tcW w:w="1781" w:type="dxa"/>
            <w:tcBorders>
              <w:top w:val="single" w:sz="4" w:space="0" w:color="auto"/>
              <w:left w:val="single" w:sz="4" w:space="0" w:color="auto"/>
              <w:bottom w:val="single" w:sz="4" w:space="0" w:color="auto"/>
              <w:right w:val="single" w:sz="4" w:space="0" w:color="auto"/>
            </w:tcBorders>
            <w:vAlign w:val="center"/>
            <w:hideMark/>
          </w:tcPr>
          <w:p w:rsidR="00AB298F" w:rsidRPr="00906EA7" w:rsidRDefault="00AB298F"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на 01.01.2020</w:t>
            </w:r>
          </w:p>
        </w:tc>
        <w:tc>
          <w:tcPr>
            <w:tcW w:w="1781" w:type="dxa"/>
            <w:tcBorders>
              <w:top w:val="single" w:sz="4" w:space="0" w:color="auto"/>
              <w:left w:val="single" w:sz="4" w:space="0" w:color="auto"/>
              <w:bottom w:val="single" w:sz="4" w:space="0" w:color="auto"/>
              <w:right w:val="single" w:sz="4" w:space="0" w:color="auto"/>
            </w:tcBorders>
            <w:vAlign w:val="center"/>
            <w:hideMark/>
          </w:tcPr>
          <w:p w:rsidR="00AB298F" w:rsidRPr="00906EA7" w:rsidRDefault="00AB298F"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 </w:t>
            </w:r>
          </w:p>
          <w:p w:rsidR="00AB298F" w:rsidRPr="00906EA7" w:rsidRDefault="00020238"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2019/</w:t>
            </w:r>
            <w:r w:rsidR="00AB298F" w:rsidRPr="00906EA7">
              <w:rPr>
                <w:rFonts w:ascii="Times New Roman" w:eastAsia="Times New Roman" w:hAnsi="Times New Roman"/>
                <w:sz w:val="20"/>
                <w:szCs w:val="20"/>
                <w:lang w:eastAsia="ru-RU"/>
              </w:rPr>
              <w:t>2018</w:t>
            </w:r>
          </w:p>
        </w:tc>
      </w:tr>
      <w:tr w:rsidR="005E3ECC" w:rsidRPr="00906EA7" w:rsidTr="00AB298F">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Техническое обслуживание и ремонт автомобильного транспорта</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49</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48,98</w:t>
            </w:r>
          </w:p>
        </w:tc>
      </w:tr>
      <w:tr w:rsidR="005E3ECC" w:rsidRPr="00906EA7" w:rsidTr="00AB298F">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Коммерция</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100,00</w:t>
            </w:r>
          </w:p>
        </w:tc>
      </w:tr>
      <w:tr w:rsidR="005E3ECC" w:rsidRPr="00906EA7" w:rsidTr="00AB298F">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Экономика и бухгалтерский  учет</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23</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104,35</w:t>
            </w:r>
          </w:p>
        </w:tc>
      </w:tr>
      <w:tr w:rsidR="005E3ECC" w:rsidRPr="00906EA7" w:rsidTr="00AB298F">
        <w:trPr>
          <w:trHeight w:val="288"/>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Информационные системы (по отраслям)</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91,67</w:t>
            </w:r>
          </w:p>
        </w:tc>
      </w:tr>
      <w:tr w:rsidR="005E3ECC" w:rsidRPr="00906EA7" w:rsidTr="00AB298F">
        <w:trPr>
          <w:trHeight w:val="288"/>
        </w:trPr>
        <w:tc>
          <w:tcPr>
            <w:tcW w:w="4316"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Информационные системы и программирование</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26</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w:t>
            </w:r>
          </w:p>
        </w:tc>
      </w:tr>
      <w:tr w:rsidR="005E3ECC" w:rsidRPr="00906EA7" w:rsidTr="00AB298F">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Программирование в компьютерных системах</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23</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21</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91,30</w:t>
            </w:r>
          </w:p>
        </w:tc>
      </w:tr>
      <w:tr w:rsidR="005E3ECC" w:rsidRPr="00906EA7" w:rsidTr="00AB298F">
        <w:trPr>
          <w:trHeight w:val="50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Автоматизация технологических процессов и производств</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51</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49,02</w:t>
            </w:r>
          </w:p>
        </w:tc>
      </w:tr>
      <w:tr w:rsidR="005E3ECC" w:rsidRPr="00906EA7" w:rsidTr="00AB298F">
        <w:trPr>
          <w:trHeight w:val="376"/>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Организация  обслуживания в общественном питании</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166,67</w:t>
            </w:r>
          </w:p>
        </w:tc>
      </w:tr>
      <w:tr w:rsidR="005E3ECC" w:rsidRPr="00906EA7" w:rsidTr="00AB298F">
        <w:trPr>
          <w:trHeight w:val="395"/>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Автомеханик</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49</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204,17</w:t>
            </w:r>
          </w:p>
        </w:tc>
      </w:tr>
      <w:tr w:rsidR="005E3ECC" w:rsidRPr="00906EA7" w:rsidTr="00AB298F">
        <w:trPr>
          <w:trHeight w:val="375"/>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Оператор нефтяных и газовых скважин</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77</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93,51</w:t>
            </w:r>
          </w:p>
        </w:tc>
      </w:tr>
      <w:tr w:rsidR="005E3ECC" w:rsidRPr="00906EA7" w:rsidTr="00AB298F">
        <w:trPr>
          <w:trHeight w:val="36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Делопроизводитель</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30</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29</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96,67</w:t>
            </w:r>
          </w:p>
        </w:tc>
      </w:tr>
      <w:tr w:rsidR="005E3ECC" w:rsidRPr="00906EA7" w:rsidTr="00AB298F">
        <w:trPr>
          <w:trHeight w:val="398"/>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Повар, кондитер</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17</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40,48</w:t>
            </w:r>
          </w:p>
        </w:tc>
      </w:tr>
      <w:tr w:rsidR="005E3ECC" w:rsidRPr="00906EA7" w:rsidTr="00AB298F">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Разработка и эксплуатация нефтяных и газовых месторождений</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192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200</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104,17</w:t>
            </w:r>
          </w:p>
        </w:tc>
      </w:tr>
      <w:tr w:rsidR="005E3ECC" w:rsidRPr="00906EA7" w:rsidTr="00AB298F">
        <w:trPr>
          <w:trHeight w:val="502"/>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Технология продукции общественного питания</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29</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75,86</w:t>
            </w:r>
          </w:p>
        </w:tc>
      </w:tr>
      <w:tr w:rsidR="005E3ECC" w:rsidRPr="00906EA7" w:rsidTr="00AB298F">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Техническая эксплуатация и обслуживание электрического и электромеханического оборудования </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28</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28</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100,00</w:t>
            </w:r>
          </w:p>
        </w:tc>
      </w:tr>
      <w:tr w:rsidR="005E3ECC" w:rsidRPr="00906EA7" w:rsidTr="00AB298F">
        <w:trPr>
          <w:trHeight w:val="401"/>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Химическая технология органических веществ</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48</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70</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145,83</w:t>
            </w:r>
          </w:p>
        </w:tc>
      </w:tr>
      <w:tr w:rsidR="005E3ECC" w:rsidRPr="00906EA7" w:rsidTr="00AB298F">
        <w:trPr>
          <w:trHeight w:val="23"/>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Слесарь контрольно-измерительных приборов и автоматики</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46</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209,09</w:t>
            </w:r>
          </w:p>
        </w:tc>
      </w:tr>
    </w:tbl>
    <w:p w:rsidR="009A1AF6" w:rsidRPr="00906EA7" w:rsidRDefault="009A1AF6" w:rsidP="0097253F">
      <w:pPr>
        <w:spacing w:after="0" w:line="240" w:lineRule="auto"/>
        <w:ind w:firstLine="709"/>
        <w:jc w:val="both"/>
        <w:rPr>
          <w:rFonts w:ascii="Times New Roman" w:eastAsia="Times New Roman" w:hAnsi="Times New Roman" w:cs="Times New Roman"/>
          <w:sz w:val="24"/>
          <w:szCs w:val="24"/>
          <w:lang w:eastAsia="ru-RU"/>
        </w:rPr>
      </w:pP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Увеличение числа студентов в том или ином направлении обусловлено востребованностью данной профессии на рынке труда городского округа. </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Число выпускников в 201</w:t>
      </w:r>
      <w:r w:rsidR="005E3ECC"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составляет </w:t>
      </w:r>
      <w:r w:rsidR="005E3ECC" w:rsidRPr="00906EA7">
        <w:rPr>
          <w:rFonts w:ascii="Times New Roman" w:eastAsia="Times New Roman" w:hAnsi="Times New Roman" w:cs="Times New Roman"/>
          <w:sz w:val="24"/>
          <w:szCs w:val="24"/>
          <w:lang w:eastAsia="ru-RU"/>
        </w:rPr>
        <w:t>154</w:t>
      </w:r>
      <w:r w:rsidRPr="00906EA7">
        <w:rPr>
          <w:rFonts w:ascii="Times New Roman" w:eastAsia="Times New Roman" w:hAnsi="Times New Roman" w:cs="Times New Roman"/>
          <w:sz w:val="24"/>
          <w:szCs w:val="24"/>
          <w:lang w:eastAsia="ru-RU"/>
        </w:rPr>
        <w:t xml:space="preserve"> человека, в 201</w:t>
      </w:r>
      <w:r w:rsidR="005E3ECC"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составлял 16</w:t>
      </w:r>
      <w:r w:rsidR="005E3ECC" w:rsidRPr="00906EA7">
        <w:rPr>
          <w:rFonts w:ascii="Times New Roman" w:eastAsia="Times New Roman" w:hAnsi="Times New Roman" w:cs="Times New Roman"/>
          <w:sz w:val="24"/>
          <w:szCs w:val="24"/>
          <w:lang w:eastAsia="ru-RU"/>
        </w:rPr>
        <w:t>4</w:t>
      </w:r>
      <w:r w:rsidRPr="00906EA7">
        <w:rPr>
          <w:rFonts w:ascii="Times New Roman" w:eastAsia="Times New Roman" w:hAnsi="Times New Roman" w:cs="Times New Roman"/>
          <w:sz w:val="24"/>
          <w:szCs w:val="24"/>
          <w:lang w:eastAsia="ru-RU"/>
        </w:rPr>
        <w:t xml:space="preserve"> человек, показатель снизился на </w:t>
      </w:r>
      <w:r w:rsidR="005E3ECC" w:rsidRPr="00906EA7">
        <w:rPr>
          <w:rFonts w:ascii="Times New Roman" w:eastAsia="Times New Roman" w:hAnsi="Times New Roman" w:cs="Times New Roman"/>
          <w:sz w:val="24"/>
          <w:szCs w:val="24"/>
          <w:lang w:eastAsia="ru-RU"/>
        </w:rPr>
        <w:t>6</w:t>
      </w:r>
      <w:r w:rsidRPr="00906EA7">
        <w:rPr>
          <w:rFonts w:ascii="Times New Roman" w:eastAsia="Times New Roman" w:hAnsi="Times New Roman" w:cs="Times New Roman"/>
          <w:sz w:val="24"/>
          <w:szCs w:val="24"/>
          <w:lang w:eastAsia="ru-RU"/>
        </w:rPr>
        <w:t>,</w:t>
      </w:r>
      <w:r w:rsidR="005E3ECC" w:rsidRPr="00906EA7">
        <w:rPr>
          <w:rFonts w:ascii="Times New Roman" w:eastAsia="Times New Roman" w:hAnsi="Times New Roman" w:cs="Times New Roman"/>
          <w:sz w:val="24"/>
          <w:szCs w:val="24"/>
          <w:lang w:eastAsia="ru-RU"/>
        </w:rPr>
        <w:t>1</w:t>
      </w:r>
      <w:r w:rsidRPr="00906EA7">
        <w:rPr>
          <w:rFonts w:ascii="Times New Roman" w:eastAsia="Times New Roman" w:hAnsi="Times New Roman" w:cs="Times New Roman"/>
          <w:sz w:val="24"/>
          <w:szCs w:val="24"/>
          <w:lang w:eastAsia="ru-RU"/>
        </w:rPr>
        <w:t>%.</w:t>
      </w: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Молодежная политика</w:t>
      </w:r>
    </w:p>
    <w:p w:rsidR="00A37066" w:rsidRPr="00906EA7" w:rsidRDefault="00A37066" w:rsidP="0097253F">
      <w:pPr>
        <w:spacing w:after="0" w:line="240" w:lineRule="auto"/>
        <w:ind w:firstLine="709"/>
        <w:jc w:val="both"/>
        <w:rPr>
          <w:rFonts w:ascii="Times New Roman" w:hAnsi="Times New Roman" w:cs="Times New Roman"/>
          <w:sz w:val="24"/>
          <w:szCs w:val="24"/>
        </w:rPr>
      </w:pP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lastRenderedPageBreak/>
        <w:t>На территории городского округа проживают 10 860 молодых людей в возрасте 14-30 лет, что составляет 20% от общей численности населения.</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сентября 2019 года функционирует Молодежный совет при главе города, в который вошли молодые люди – представители разных сфер города. Главной целью деятельности Совета является объединение инициативных молодежных групп для реализации задач, направленных на развитие молодежной сферы и привлечение молодежи к общественной жизни. Молодежный совет стал инициатором и реализовал проект «Добрый Мегион», оказывающий помощь людям, попавшим в трудную жизненную ситуацию.</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Для реализации мероприятий молодежной политики функционируют муниципальное молодежное автономное учреждение «Старт». Это единственное учреждение в городе, организующее предоставление рабочих мест для подростков в возрасте от 14 до 18 лет. За 2019 год муниципальным молодежным автономным учреждением «Старт» заключено 1293 договора на временное трудоустройство несовершеннолетних граждан. Заключены 42 договора с предприятиями городского округа.</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организации и осуществления мероприятий по работе с молодежью в сфере гражданского и военно-патриотического воспитания в городском округе в молодежном автономном учреждении «Старт» создан клуб гражданского и военно-патриотического воспитания молодежи «Форпост».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клубе «Форпост» проводятся занятия по дисциплинам военно-патриотической направленности, в том числе занятия по разборке-сборке автомата Калашникова, пистолета Макарова, практической стрельбе из пневматического оружия, общефизической и строевой подготовке, по знанию истории России.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Общая численность воспитанников клуба «Форпост» составляет 120 человек. Кроме того, клуб «Форпост» является координатором городского движения «Юнармия». В 2019 году во всех общеобразовательных организациях города созданы отряды Всероссийского детско-юношеского движения «Юнармия». Всего в городе зарегистрированы 156 юнармейцев.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базе ММАУ «Старт» действует поисковый отряд «Истоки». В 2019 году организованы 3 поисковые экспедиции в Волгоградскую, Брянскую и Псковскую области, в которых приняли участие 32 воспитанника. За 3 экспедиции воспитанниками клуба «Истоки» совместно с воспитанниками поискового клуба города Лангепаса были обнаружены и эксгумированы останки 35 бойцов Красной Армии, в том числе два именных.</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Воспитанники клуба приняли участие в XVI Открытом окружном Слете поисковых отрядов, который проходил в городе Пыть-Яхе, и заняли I, II, III места.</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Один воспитанник поискового отряда награжден нагрудным знаком отличия Министерства обороны Российской Федерации.</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ММАУ «Старт» осуществляют деятельность 4 волонтерских формирования общей численностью 56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волонтеры Победы (Муниципальное отделение ВОД «Волонтеры Победы» - 21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волонтеры – медики – 12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социальные волонтеры – 11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волонтеры Здорового Образа Жизни – 12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Волонтеры участвуют в сопровождении культурно-массовых, патриотических, экологических и спортивных мероприятий.</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ММАУ «Старт» приняло участие в организации форума-фестиваля волонтерских (добровольческих) объединений города в 2019 году, участниками стали 180 волонтеров города.</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ММАУ «Старт» ведет работу отдел поддержки и развития талантливой молодежи, в отделе функционирует семь клубов различной направленности:</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компьютерный клуб «Техно». Направление деятельности клуба – культурно-познавательное;</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lastRenderedPageBreak/>
        <w:t xml:space="preserve">клуб кройки и шитья «Мастерица», на постоянной основе занимаются 12 человек. В клубе осваивают навыки моделирования, кройки и шитья одежды, мягких игрушек, постельного белья, полотенец, салфеток, прихваток и прочей текстильной продукции. Очень популярна среди занимающихся - машинная и ручная вышивка, пэчворк, лоскутное шитье и многие другие.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направлении театральной деятельности для детей, подростков и молодежи работают театр мод «Галатея» (25 человек) и клуб театрального мастерства «Маленькая страна» (10 человек). Театр мод действует в молодежном учреждении более 11 лет, за это время воспитанники клуба стали многократными лауреатами и дипломантами городских, окружных, всероссийских и международных конкурсов, фестивалей и биеннале. С октября 2019 года на базе учреждения открыт клуб русского народного танца «Жива». За свою непродолжительную работу клуб насчитывает 15 участников. В 2019 году приняли участие в 10 мероприятиях, в том числе в городском конкурсе военно-патриотической песни «Дорогами войны» (благодарственное письмо), городском конкурсе «Танцуй, пока молодой» (дипломы 1-й и 2-й степени).</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Казачий клуб «Богатырь» работает в туристско-этнографическом направлении                  и насчитывает 35 участников. В 2019 году воспитанники приняли участие и организовали 67 мероприятий: межэтнический фестиваль «Наш дом – Югра», открытое первенство города Нижневартовска по рукопашному бою, региональный турнир по рубке шашкой Казарла, реализация летней оздоровительной кампании - четырех смен палаточного лагеря на базе музейного комплекса «Югра», организация двух многодневных водных походов и многое другое.</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С ноября 2019 года начал работу клуб авторской песни «Созвучие» (12 человек).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shd w:val="clear" w:color="auto" w:fill="FFFFFF"/>
        </w:rPr>
        <w:t>Клубные формирования ММАУ «Старт» являются действенным механизмом по поддержке молодежных инициатив, содействию участия молодежи в общественной, социально-экономической и политической жизни города.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Оздоровительная кампания 2019 года на территории городского округа осуществляется в соответствии постановлением администрации города от 14.03.2019 №502 «О комплексе мер по организации отдыха и оздоровления детей, подростков и молодежи, проживающих на территории города Мегиона, на 2019 год».</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Организованный отдых детей</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реализацию оздоровительной кампании в 2019 году расходы составили 53 877,4 тыс. руб., что на 1,8% больше, чем в 2018 году (52 898,9 тыс. руб.), исполнение составило 99,9%:</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из бюджета автономного округа – 25 675,3 тыс. руб., что на 23,1% больше в сравнении с 2018 годом (19 726,9 тыс. руб.).</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из бюджета муниципального образования – 28 202,1 тыс. руб., что на 15,5% больше                  в сравнении с 2018 годом (23 816,1 тыс. руб.).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Всеми формами отдыха в течение 2019 года охвачены 22 449 дето/дней, что на 4,06% больше в сравнении с 2018 годом (2018 год – 21 537 дето/дней).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каникулярный период 2019 года в городе Мегионе (с учетом пожеланий детей) организована работа 20 лагерей, что на 2 лагеря больше в сравнении с 2018 годом, из них:</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17 лагерей с дневным пребыванием детей с охватом 4 622 детей (2018 год - 15 лагерей с охватом 4 557 детей, увеличение на 65 человек), увеличение охвата на 1,4%;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1 лагерь труда и отдыха с охватом 100 детей (2018 год -1 лагерь с охватом 75 детей, увеличение на 25 де</w:t>
      </w:r>
      <w:r w:rsidR="00145DA3" w:rsidRPr="00906EA7">
        <w:rPr>
          <w:rFonts w:ascii="Times New Roman" w:hAnsi="Times New Roman" w:cs="Times New Roman"/>
          <w:sz w:val="24"/>
          <w:szCs w:val="24"/>
        </w:rPr>
        <w:t>тей), увеличение составило 25%.</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Впервые в городе на базе музейно-этнографического и экологического парка «Югра» организована работа двух стационарных палаточных лагерей (4 смены по 25 человек) с общим охватом 100 детей.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lastRenderedPageBreak/>
        <w:t>Одна из популярных форм отдыха несовершеннолетних - площадки временного пребывания. В 2019 году организована работа 24 площадок временного пребывания с охватом 16 146 дето/дней (2018 год – 15 296 дето/дней).</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Учитывая климатические особенности Югры, в оздоровительные организации, расположенные в климатически благоприятных регионах Российской Федерации, в каникулярный период 2019 года направлены 739 детей (в 2018 году – 688 детей).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География отдыха и оздоровления детей достаточно разнообразна: Республика Крым, Краснодарский край, Тюменская, Ростовская, Нижегородская области. Также в период осенних и зимних каникул был организован выезд детей на экскурсионно-познавательный отдых: Москва, Санкт-Петербург, Казань, Тюменская область, в детские лагеря Ханты-Мансийска и Новосибирска.</w:t>
      </w:r>
    </w:p>
    <w:p w:rsidR="00F005F3" w:rsidRPr="00906EA7" w:rsidRDefault="00F005F3" w:rsidP="0097253F">
      <w:pPr>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Показатели эффективности оздоровления детей по итогам оздоровительной кампании в 2019 году составили: </w:t>
      </w:r>
    </w:p>
    <w:p w:rsidR="00F005F3" w:rsidRPr="00906EA7" w:rsidRDefault="00F005F3" w:rsidP="0097253F">
      <w:pPr>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выраженный оздоровительный эффект отмечен у 98,7% детей, </w:t>
      </w:r>
    </w:p>
    <w:p w:rsidR="00F005F3" w:rsidRPr="00906EA7" w:rsidRDefault="00F005F3" w:rsidP="0097253F">
      <w:pPr>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слабый оздоровительный эффект получили 1,0% детей,</w:t>
      </w:r>
    </w:p>
    <w:p w:rsidR="00F005F3" w:rsidRPr="00906EA7" w:rsidRDefault="00F005F3" w:rsidP="0097253F">
      <w:pPr>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отсутствие оздоровительного эффекта наблюдалось у 0,3 % детей.</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итогам летней оздоровительной кампании 2019 года основные задачи оздоровления детей и подростков, обеспечения трудовой занятости несовершеннолетних выполнены.</w:t>
      </w:r>
    </w:p>
    <w:p w:rsidR="00145DA3" w:rsidRPr="00906EA7" w:rsidRDefault="00145DA3" w:rsidP="0097253F">
      <w:pPr>
        <w:spacing w:after="0" w:line="240" w:lineRule="auto"/>
        <w:ind w:firstLine="708"/>
        <w:rPr>
          <w:rFonts w:ascii="Times New Roman" w:eastAsia="Calibri" w:hAnsi="Times New Roman"/>
          <w:sz w:val="24"/>
          <w:szCs w:val="24"/>
        </w:rPr>
      </w:pPr>
    </w:p>
    <w:p w:rsidR="00A37066" w:rsidRPr="00906EA7" w:rsidRDefault="00A37066" w:rsidP="0097253F">
      <w:pPr>
        <w:spacing w:after="0" w:line="240" w:lineRule="auto"/>
        <w:ind w:firstLine="708"/>
        <w:rPr>
          <w:rFonts w:ascii="Times New Roman" w:eastAsia="Calibri" w:hAnsi="Times New Roman"/>
          <w:sz w:val="24"/>
          <w:szCs w:val="24"/>
        </w:rPr>
      </w:pPr>
      <w:r w:rsidRPr="00906EA7">
        <w:rPr>
          <w:rFonts w:ascii="Times New Roman" w:eastAsia="Calibri" w:hAnsi="Times New Roman"/>
          <w:sz w:val="24"/>
          <w:szCs w:val="24"/>
        </w:rPr>
        <w:t>КУЛЬТУРА</w:t>
      </w:r>
    </w:p>
    <w:p w:rsidR="00A37066" w:rsidRPr="00906EA7" w:rsidRDefault="00A37066" w:rsidP="0097253F">
      <w:pPr>
        <w:spacing w:after="0" w:line="240" w:lineRule="auto"/>
        <w:rPr>
          <w:rFonts w:ascii="Times New Roman" w:eastAsia="Calibri" w:hAnsi="Times New Roman"/>
          <w:sz w:val="24"/>
          <w:szCs w:val="24"/>
        </w:rPr>
      </w:pPr>
    </w:p>
    <w:p w:rsidR="00A37066" w:rsidRPr="00906EA7" w:rsidRDefault="00A37066"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Главным источником финансирования реализуемых мероприятий в сфере культуры является программа муниципального образования «Развитие культуры и туризма в городском округе город Мегион на 201</w:t>
      </w:r>
      <w:r w:rsidR="00F005F3" w:rsidRPr="00906EA7">
        <w:rPr>
          <w:rFonts w:ascii="Times New Roman" w:hAnsi="Times New Roman" w:cs="Times New Roman"/>
          <w:sz w:val="24"/>
          <w:szCs w:val="24"/>
        </w:rPr>
        <w:t>9</w:t>
      </w:r>
      <w:r w:rsidRPr="00906EA7">
        <w:rPr>
          <w:rFonts w:ascii="Times New Roman" w:hAnsi="Times New Roman" w:cs="Times New Roman"/>
          <w:sz w:val="24"/>
          <w:szCs w:val="24"/>
        </w:rPr>
        <w:t>-202</w:t>
      </w:r>
      <w:r w:rsidR="00F005F3" w:rsidRPr="00906EA7">
        <w:rPr>
          <w:rFonts w:ascii="Times New Roman" w:hAnsi="Times New Roman" w:cs="Times New Roman"/>
          <w:sz w:val="24"/>
          <w:szCs w:val="24"/>
        </w:rPr>
        <w:t>5</w:t>
      </w:r>
      <w:r w:rsidRPr="00906EA7">
        <w:rPr>
          <w:rFonts w:ascii="Times New Roman" w:hAnsi="Times New Roman" w:cs="Times New Roman"/>
          <w:sz w:val="24"/>
          <w:szCs w:val="24"/>
        </w:rPr>
        <w:t xml:space="preserve"> годы».</w:t>
      </w:r>
    </w:p>
    <w:p w:rsidR="00A37066" w:rsidRPr="00906EA7" w:rsidRDefault="00A37066"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Реализация муниципальной программы осуществляется в значимых сферах социально-экономического развития города Мегиона: культура и искусство, туризм, историко-культурное наследие, государственная национальная политика.</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Библиотечное обслуживание</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Библиотечное обслуживание населения осуществляется муниципальным бюджетным учреждением «Централизованная библиотечная система», в составе которого 4 библиотеки. Обеспеченность библиотеками на 01.01.20</w:t>
      </w:r>
      <w:r w:rsidR="00F47C75" w:rsidRPr="00906EA7">
        <w:rPr>
          <w:rFonts w:ascii="Times New Roman" w:hAnsi="Times New Roman" w:cs="Times New Roman"/>
          <w:sz w:val="24"/>
          <w:szCs w:val="24"/>
        </w:rPr>
        <w:t xml:space="preserve">20 </w:t>
      </w:r>
      <w:r w:rsidRPr="00906EA7">
        <w:rPr>
          <w:rFonts w:ascii="Times New Roman" w:hAnsi="Times New Roman" w:cs="Times New Roman"/>
          <w:sz w:val="24"/>
          <w:szCs w:val="24"/>
        </w:rPr>
        <w:t>составляет 100%.</w:t>
      </w:r>
    </w:p>
    <w:p w:rsidR="00F47C75" w:rsidRPr="00906EA7" w:rsidRDefault="00F47C75"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Услугами общедоступных библиотек города пользуется </w:t>
      </w:r>
      <w:r w:rsidR="0085455C" w:rsidRPr="00906EA7">
        <w:rPr>
          <w:rFonts w:ascii="Times New Roman" w:hAnsi="Times New Roman" w:cs="Times New Roman"/>
          <w:sz w:val="24"/>
          <w:szCs w:val="24"/>
        </w:rPr>
        <w:t>25,9</w:t>
      </w:r>
      <w:r w:rsidRPr="00906EA7">
        <w:rPr>
          <w:rFonts w:ascii="Times New Roman" w:hAnsi="Times New Roman" w:cs="Times New Roman"/>
          <w:sz w:val="24"/>
          <w:szCs w:val="24"/>
        </w:rPr>
        <w:t>% жителей города, что количественно составляет 14 075 читателей. Каждый читатель в среднем посещает библиотеку 6,7 раза в год, использует 18,3 библиотечных книг. Данный показатель является стабильным в течение трех лет.</w:t>
      </w:r>
    </w:p>
    <w:p w:rsidR="00F47C75" w:rsidRPr="00906EA7" w:rsidRDefault="00F47C75"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Основой для библиотечно-информационного обслуживания является библиотечный фонд. Совокупный объем фондов общедоступных библиотек увеличился на 1 646 экземпляра и по состоянию на 01.01.2020 насчи</w:t>
      </w:r>
      <w:r w:rsidR="00145DA3" w:rsidRPr="00906EA7">
        <w:rPr>
          <w:rFonts w:ascii="Times New Roman" w:hAnsi="Times New Roman" w:cs="Times New Roman"/>
          <w:sz w:val="24"/>
          <w:szCs w:val="24"/>
        </w:rPr>
        <w:t xml:space="preserve">тывает 171 956 экземпляров книг. </w:t>
      </w:r>
      <w:r w:rsidRPr="00906EA7">
        <w:rPr>
          <w:rFonts w:ascii="Times New Roman" w:hAnsi="Times New Roman" w:cs="Times New Roman"/>
          <w:sz w:val="24"/>
          <w:szCs w:val="24"/>
        </w:rPr>
        <w:t>Книговыдача за год составила 257 345 экземпляров.</w:t>
      </w:r>
    </w:p>
    <w:p w:rsidR="00F47C75" w:rsidRPr="00906EA7" w:rsidRDefault="00F47C75"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С целью обеспечения сохранности регионального компонента национального библиотечного фонда проводится оцифровка фонда. На 01.01.2020 оцифрованы 198 изданий, в том числе 65 комплектов газет.</w:t>
      </w:r>
    </w:p>
    <w:p w:rsidR="00F47C75" w:rsidRPr="00906EA7" w:rsidRDefault="00F47C75" w:rsidP="0097253F">
      <w:pPr>
        <w:widowControl w:val="0"/>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bCs/>
          <w:sz w:val="24"/>
          <w:szCs w:val="24"/>
        </w:rPr>
        <w:t xml:space="preserve">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созданию «Сводного каталога библиотек Югры». </w:t>
      </w:r>
      <w:r w:rsidRPr="00906EA7">
        <w:rPr>
          <w:rFonts w:ascii="Times New Roman" w:hAnsi="Times New Roman" w:cs="Times New Roman"/>
          <w:sz w:val="24"/>
          <w:szCs w:val="24"/>
        </w:rPr>
        <w:t>На 01.01.2019 в сводном каталоге библиотек Югры содержатся 43 196 записей, созданных учреждением (2018 год – 40 693).</w:t>
      </w:r>
    </w:p>
    <w:p w:rsidR="00F47C75" w:rsidRPr="00906EA7" w:rsidRDefault="00F47C75" w:rsidP="0097253F">
      <w:pPr>
        <w:widowControl w:val="0"/>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rPr>
        <w:t xml:space="preserve">С целью оснащения библиотек специализированным оборудованием в трех библиотеках установлены автоматизированные рабочие места с синтезатором речи, </w:t>
      </w:r>
      <w:r w:rsidRPr="00906EA7">
        <w:rPr>
          <w:rFonts w:ascii="Times New Roman" w:hAnsi="Times New Roman" w:cs="Times New Roman"/>
          <w:sz w:val="24"/>
          <w:szCs w:val="24"/>
        </w:rPr>
        <w:lastRenderedPageBreak/>
        <w:t xml:space="preserve">клавиатуры со шрифтом Брайля, принтеры для печати документов шрифтом Брайля, электронные увеличивающие лупы, тифлофлешплееры, тифломагнитофоны. </w:t>
      </w:r>
    </w:p>
    <w:p w:rsidR="006C280B" w:rsidRPr="00906EA7" w:rsidRDefault="006C280B" w:rsidP="0097253F">
      <w:pPr>
        <w:widowControl w:val="0"/>
        <w:spacing w:after="0" w:line="240" w:lineRule="auto"/>
        <w:ind w:firstLine="720"/>
        <w:jc w:val="both"/>
        <w:rPr>
          <w:rFonts w:ascii="Times New Roman" w:hAnsi="Times New Roman" w:cs="Times New Roman"/>
          <w:sz w:val="24"/>
          <w:szCs w:val="24"/>
        </w:rPr>
      </w:pPr>
    </w:p>
    <w:p w:rsidR="00651B1B" w:rsidRDefault="00651B1B" w:rsidP="0097253F">
      <w:pPr>
        <w:widowControl w:val="0"/>
        <w:tabs>
          <w:tab w:val="left" w:pos="-4536"/>
          <w:tab w:val="left" w:pos="1134"/>
        </w:tabs>
        <w:spacing w:after="0" w:line="240" w:lineRule="auto"/>
        <w:jc w:val="center"/>
        <w:rPr>
          <w:rFonts w:ascii="Times New Roman" w:hAnsi="Times New Roman" w:cs="Times New Roman"/>
          <w:sz w:val="24"/>
          <w:szCs w:val="24"/>
        </w:rPr>
      </w:pPr>
    </w:p>
    <w:p w:rsidR="00651B1B" w:rsidRDefault="00651B1B" w:rsidP="0097253F">
      <w:pPr>
        <w:widowControl w:val="0"/>
        <w:tabs>
          <w:tab w:val="left" w:pos="-4536"/>
          <w:tab w:val="left" w:pos="1134"/>
        </w:tabs>
        <w:spacing w:after="0" w:line="240" w:lineRule="auto"/>
        <w:jc w:val="center"/>
        <w:rPr>
          <w:rFonts w:ascii="Times New Roman" w:hAnsi="Times New Roman" w:cs="Times New Roman"/>
          <w:sz w:val="24"/>
          <w:szCs w:val="24"/>
        </w:rPr>
      </w:pPr>
    </w:p>
    <w:p w:rsidR="00651B1B" w:rsidRDefault="00651B1B" w:rsidP="0097253F">
      <w:pPr>
        <w:widowControl w:val="0"/>
        <w:tabs>
          <w:tab w:val="left" w:pos="-4536"/>
          <w:tab w:val="left" w:pos="1134"/>
        </w:tabs>
        <w:spacing w:after="0" w:line="240" w:lineRule="auto"/>
        <w:jc w:val="center"/>
        <w:rPr>
          <w:rFonts w:ascii="Times New Roman" w:hAnsi="Times New Roman" w:cs="Times New Roman"/>
          <w:sz w:val="24"/>
          <w:szCs w:val="24"/>
        </w:rPr>
      </w:pPr>
    </w:p>
    <w:p w:rsidR="00A37066" w:rsidRPr="00906EA7" w:rsidRDefault="00A37066" w:rsidP="0097253F">
      <w:pPr>
        <w:widowControl w:val="0"/>
        <w:tabs>
          <w:tab w:val="left" w:pos="-4536"/>
          <w:tab w:val="left" w:pos="1134"/>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Динамика показателей библиотек городского округа за 201</w:t>
      </w:r>
      <w:r w:rsidR="00F47C75" w:rsidRPr="00906EA7">
        <w:rPr>
          <w:rFonts w:ascii="Times New Roman" w:hAnsi="Times New Roman" w:cs="Times New Roman"/>
          <w:sz w:val="24"/>
          <w:szCs w:val="24"/>
        </w:rPr>
        <w:t>7</w:t>
      </w:r>
      <w:r w:rsidRPr="00906EA7">
        <w:rPr>
          <w:rFonts w:ascii="Times New Roman" w:hAnsi="Times New Roman" w:cs="Times New Roman"/>
          <w:sz w:val="24"/>
          <w:szCs w:val="24"/>
        </w:rPr>
        <w:t>-201</w:t>
      </w:r>
      <w:r w:rsidR="00F47C75"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 </w:t>
      </w:r>
    </w:p>
    <w:p w:rsidR="00A37066" w:rsidRPr="00906EA7" w:rsidRDefault="00A37066" w:rsidP="0097253F">
      <w:pPr>
        <w:widowControl w:val="0"/>
        <w:tabs>
          <w:tab w:val="left" w:pos="-4536"/>
          <w:tab w:val="left" w:pos="1134"/>
        </w:tabs>
        <w:spacing w:after="0" w:line="240" w:lineRule="auto"/>
        <w:jc w:val="right"/>
        <w:rPr>
          <w:rFonts w:ascii="Times New Roman" w:hAnsi="Times New Roman" w:cs="Times New Roman"/>
          <w:sz w:val="24"/>
          <w:szCs w:val="24"/>
        </w:rPr>
      </w:pPr>
    </w:p>
    <w:tbl>
      <w:tblPr>
        <w:tblStyle w:val="a3"/>
        <w:tblW w:w="0" w:type="auto"/>
        <w:tblInd w:w="0" w:type="dxa"/>
        <w:tblLayout w:type="fixed"/>
        <w:tblLook w:val="04A0" w:firstRow="1" w:lastRow="0" w:firstColumn="1" w:lastColumn="0" w:noHBand="0" w:noVBand="1"/>
      </w:tblPr>
      <w:tblGrid>
        <w:gridCol w:w="2970"/>
        <w:gridCol w:w="1620"/>
        <w:gridCol w:w="1620"/>
        <w:gridCol w:w="1620"/>
        <w:gridCol w:w="1883"/>
      </w:tblGrid>
      <w:tr w:rsidR="00F47C75" w:rsidRPr="00906EA7" w:rsidTr="00A37066">
        <w:trPr>
          <w:trHeight w:val="558"/>
          <w:tblHeader/>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0"/>
                <w:szCs w:val="20"/>
              </w:rPr>
            </w:pPr>
            <w:r w:rsidRPr="00906EA7">
              <w:rPr>
                <w:rFonts w:ascii="Times New Roman" w:hAnsi="Times New Roman"/>
                <w:sz w:val="20"/>
                <w:szCs w:val="20"/>
              </w:rPr>
              <w:t>Показатели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0"/>
                <w:szCs w:val="20"/>
              </w:rPr>
            </w:pPr>
            <w:r w:rsidRPr="00906EA7">
              <w:rPr>
                <w:rFonts w:ascii="Times New Roman" w:eastAsia="Times New Roman" w:hAnsi="Times New Roman"/>
                <w:sz w:val="20"/>
                <w:szCs w:val="20"/>
                <w:lang w:eastAsia="ru-RU"/>
              </w:rPr>
              <w:t>2017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0"/>
                <w:szCs w:val="20"/>
              </w:rPr>
            </w:pPr>
            <w:r w:rsidRPr="00906EA7">
              <w:rPr>
                <w:rFonts w:ascii="Times New Roman" w:hAnsi="Times New Roman"/>
                <w:sz w:val="20"/>
                <w:szCs w:val="20"/>
              </w:rPr>
              <w:t>2018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0"/>
                <w:szCs w:val="20"/>
              </w:rPr>
            </w:pPr>
            <w:r w:rsidRPr="00906EA7">
              <w:rPr>
                <w:rFonts w:ascii="Times New Roman" w:hAnsi="Times New Roman"/>
                <w:sz w:val="20"/>
                <w:szCs w:val="20"/>
              </w:rPr>
              <w:t>2019 год</w:t>
            </w:r>
          </w:p>
        </w:tc>
        <w:tc>
          <w:tcPr>
            <w:tcW w:w="1883"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 </w:t>
            </w:r>
          </w:p>
          <w:p w:rsidR="00F47C75" w:rsidRPr="00906EA7" w:rsidRDefault="00020238" w:rsidP="0097253F">
            <w:pPr>
              <w:widowControl w:val="0"/>
              <w:tabs>
                <w:tab w:val="left" w:pos="-4536"/>
                <w:tab w:val="left" w:pos="1134"/>
              </w:tabs>
              <w:jc w:val="center"/>
              <w:rPr>
                <w:rFonts w:ascii="Times New Roman" w:hAnsi="Times New Roman"/>
                <w:sz w:val="20"/>
                <w:szCs w:val="20"/>
              </w:rPr>
            </w:pPr>
            <w:r w:rsidRPr="00906EA7">
              <w:rPr>
                <w:rFonts w:ascii="Times New Roman" w:eastAsia="Times New Roman" w:hAnsi="Times New Roman"/>
                <w:sz w:val="20"/>
                <w:szCs w:val="20"/>
                <w:lang w:eastAsia="ru-RU"/>
              </w:rPr>
              <w:t>2019/</w:t>
            </w:r>
            <w:r w:rsidR="00F47C75" w:rsidRPr="00906EA7">
              <w:rPr>
                <w:rFonts w:ascii="Times New Roman" w:eastAsia="Times New Roman" w:hAnsi="Times New Roman"/>
                <w:sz w:val="20"/>
                <w:szCs w:val="20"/>
                <w:lang w:eastAsia="ru-RU"/>
              </w:rPr>
              <w:t>2018</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Число читателей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bCs/>
                <w:sz w:val="24"/>
                <w:szCs w:val="24"/>
              </w:rPr>
              <w:t>14 107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14 097</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14</w:t>
            </w:r>
            <w:r w:rsidR="0085455C" w:rsidRPr="00906EA7">
              <w:rPr>
                <w:rFonts w:ascii="Times New Roman" w:hAnsi="Times New Roman"/>
                <w:sz w:val="24"/>
                <w:szCs w:val="24"/>
              </w:rPr>
              <w:t xml:space="preserve"> </w:t>
            </w:r>
            <w:r w:rsidRPr="00906EA7">
              <w:rPr>
                <w:rFonts w:ascii="Times New Roman" w:hAnsi="Times New Roman"/>
                <w:sz w:val="24"/>
                <w:szCs w:val="24"/>
              </w:rPr>
              <w:t>075</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99,8</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Книговыдача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bCs/>
                <w:sz w:val="24"/>
                <w:szCs w:val="24"/>
              </w:rPr>
              <w:t>257 300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258 648</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257</w:t>
            </w:r>
            <w:r w:rsidR="0085455C" w:rsidRPr="00906EA7">
              <w:rPr>
                <w:rFonts w:ascii="Times New Roman" w:hAnsi="Times New Roman"/>
                <w:sz w:val="24"/>
                <w:szCs w:val="24"/>
              </w:rPr>
              <w:t xml:space="preserve"> </w:t>
            </w:r>
            <w:r w:rsidRPr="00906EA7">
              <w:rPr>
                <w:rFonts w:ascii="Times New Roman" w:hAnsi="Times New Roman"/>
                <w:sz w:val="24"/>
                <w:szCs w:val="24"/>
              </w:rPr>
              <w:t>345</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99,5</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Посещения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sz w:val="24"/>
                <w:szCs w:val="24"/>
                <w:lang w:eastAsia="ru-RU"/>
              </w:rPr>
              <w:t>91 018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92 682</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94</w:t>
            </w:r>
            <w:r w:rsidR="0085455C" w:rsidRPr="00906EA7">
              <w:rPr>
                <w:rFonts w:ascii="Times New Roman" w:hAnsi="Times New Roman"/>
                <w:sz w:val="24"/>
                <w:szCs w:val="24"/>
              </w:rPr>
              <w:t xml:space="preserve"> </w:t>
            </w:r>
            <w:r w:rsidRPr="00906EA7">
              <w:rPr>
                <w:rFonts w:ascii="Times New Roman" w:hAnsi="Times New Roman"/>
                <w:sz w:val="24"/>
                <w:szCs w:val="24"/>
              </w:rPr>
              <w:t>261</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101,7</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Объем фонда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sz w:val="24"/>
                <w:szCs w:val="24"/>
                <w:lang w:eastAsia="ru-RU"/>
              </w:rPr>
              <w:t>169 036</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170 310</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171</w:t>
            </w:r>
            <w:r w:rsidR="0085455C" w:rsidRPr="00906EA7">
              <w:rPr>
                <w:rFonts w:ascii="Times New Roman" w:hAnsi="Times New Roman"/>
                <w:sz w:val="24"/>
                <w:szCs w:val="24"/>
              </w:rPr>
              <w:t xml:space="preserve"> </w:t>
            </w:r>
            <w:r w:rsidRPr="00906EA7">
              <w:rPr>
                <w:rFonts w:ascii="Times New Roman" w:hAnsi="Times New Roman"/>
                <w:sz w:val="24"/>
                <w:szCs w:val="24"/>
              </w:rPr>
              <w:t>956</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101</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Читаемость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18,6</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18,2</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97,8</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Посещаемость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sz w:val="24"/>
                <w:szCs w:val="24"/>
                <w:lang w:eastAsia="ru-RU"/>
              </w:rPr>
              <w:t>6,5</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6,6</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6,4</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97</w:t>
            </w:r>
          </w:p>
        </w:tc>
      </w:tr>
    </w:tbl>
    <w:p w:rsidR="00A37066" w:rsidRPr="00906EA7" w:rsidRDefault="00A37066" w:rsidP="0097253F">
      <w:pPr>
        <w:widowControl w:val="0"/>
        <w:tabs>
          <w:tab w:val="left" w:pos="-4536"/>
          <w:tab w:val="left" w:pos="1134"/>
        </w:tabs>
        <w:spacing w:after="0" w:line="240" w:lineRule="auto"/>
        <w:jc w:val="right"/>
        <w:rPr>
          <w:rFonts w:ascii="Times New Roman" w:hAnsi="Times New Roman" w:cs="Times New Roman"/>
          <w:sz w:val="24"/>
          <w:szCs w:val="24"/>
        </w:rPr>
      </w:pPr>
    </w:p>
    <w:p w:rsidR="007F28B7" w:rsidRPr="00906EA7" w:rsidRDefault="007F28B7"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Times New Roman" w:hAnsi="Times New Roman" w:cs="Times New Roman"/>
          <w:sz w:val="24"/>
          <w:szCs w:val="24"/>
          <w:lang w:eastAsia="ru-RU"/>
        </w:rPr>
        <w:t xml:space="preserve">За год на базе </w:t>
      </w:r>
      <w:r w:rsidRPr="00906EA7">
        <w:rPr>
          <w:rFonts w:ascii="Times New Roman" w:eastAsia="Calibri" w:hAnsi="Times New Roman" w:cs="Times New Roman"/>
          <w:sz w:val="24"/>
          <w:szCs w:val="24"/>
        </w:rPr>
        <w:t xml:space="preserve">Централизованной библиотечной системы реализованы 640 мероприятий, которые посетили 19 727 человек, в том числе 498 ребенка. </w:t>
      </w:r>
    </w:p>
    <w:p w:rsidR="00A37066" w:rsidRDefault="00A37066" w:rsidP="0097253F">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p>
    <w:p w:rsidR="00A37066" w:rsidRPr="00906EA7" w:rsidRDefault="00A37066" w:rsidP="0097253F">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Массовые мероприятия</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59"/>
        <w:gridCol w:w="1560"/>
        <w:gridCol w:w="1559"/>
        <w:gridCol w:w="1475"/>
      </w:tblGrid>
      <w:tr w:rsidR="007F28B7" w:rsidRPr="00906EA7" w:rsidTr="007F28B7">
        <w:trPr>
          <w:trHeight w:val="72"/>
          <w:tblHeader/>
        </w:trPr>
        <w:tc>
          <w:tcPr>
            <w:tcW w:w="3652"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2017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2019 год</w:t>
            </w:r>
          </w:p>
        </w:tc>
        <w:tc>
          <w:tcPr>
            <w:tcW w:w="1475"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w:t>
            </w:r>
          </w:p>
          <w:p w:rsidR="007F28B7" w:rsidRPr="00906EA7" w:rsidRDefault="00020238"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2018/</w:t>
            </w:r>
            <w:r w:rsidR="007F28B7" w:rsidRPr="00906EA7">
              <w:rPr>
                <w:rFonts w:ascii="Times New Roman" w:eastAsia="Times New Roman" w:hAnsi="Times New Roman" w:cs="Times New Roman"/>
                <w:bCs/>
                <w:sz w:val="20"/>
                <w:szCs w:val="20"/>
                <w:lang w:eastAsia="ru-RU"/>
              </w:rPr>
              <w:t>2017</w:t>
            </w:r>
          </w:p>
        </w:tc>
      </w:tr>
      <w:tr w:rsidR="007F28B7" w:rsidRPr="00906EA7" w:rsidTr="007F28B7">
        <w:trPr>
          <w:trHeight w:val="72"/>
        </w:trPr>
        <w:tc>
          <w:tcPr>
            <w:tcW w:w="3652"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Количество мероприятий, единиц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532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640</w:t>
            </w:r>
          </w:p>
        </w:tc>
        <w:tc>
          <w:tcPr>
            <w:tcW w:w="1475"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111,7</w:t>
            </w:r>
          </w:p>
        </w:tc>
      </w:tr>
      <w:tr w:rsidR="007F28B7" w:rsidRPr="00906EA7" w:rsidTr="007F28B7">
        <w:trPr>
          <w:trHeight w:val="291"/>
        </w:trPr>
        <w:tc>
          <w:tcPr>
            <w:tcW w:w="3652"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Посещений массовых мероприятий,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18 486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19 614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19</w:t>
            </w:r>
            <w:r w:rsidR="0085455C" w:rsidRPr="00906EA7">
              <w:rPr>
                <w:rFonts w:ascii="Times New Roman" w:eastAsia="Times New Roman" w:hAnsi="Times New Roman" w:cs="Times New Roman"/>
                <w:bCs/>
                <w:sz w:val="24"/>
                <w:szCs w:val="24"/>
                <w:lang w:eastAsia="ru-RU"/>
              </w:rPr>
              <w:t xml:space="preserve"> </w:t>
            </w:r>
            <w:r w:rsidRPr="00906EA7">
              <w:rPr>
                <w:rFonts w:ascii="Times New Roman" w:eastAsia="Times New Roman" w:hAnsi="Times New Roman" w:cs="Times New Roman"/>
                <w:bCs/>
                <w:sz w:val="24"/>
                <w:szCs w:val="24"/>
                <w:lang w:eastAsia="ru-RU"/>
              </w:rPr>
              <w:t>727</w:t>
            </w:r>
          </w:p>
        </w:tc>
        <w:tc>
          <w:tcPr>
            <w:tcW w:w="1475"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100,6</w:t>
            </w:r>
          </w:p>
        </w:tc>
      </w:tr>
      <w:tr w:rsidR="007F28B7" w:rsidRPr="00906EA7" w:rsidTr="007F28B7">
        <w:trPr>
          <w:trHeight w:val="291"/>
        </w:trPr>
        <w:tc>
          <w:tcPr>
            <w:tcW w:w="3652"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в том числе для детей,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387</w:t>
            </w:r>
          </w:p>
        </w:tc>
        <w:tc>
          <w:tcPr>
            <w:tcW w:w="1560"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464</w:t>
            </w:r>
          </w:p>
        </w:tc>
        <w:tc>
          <w:tcPr>
            <w:tcW w:w="1559"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498</w:t>
            </w:r>
          </w:p>
        </w:tc>
        <w:tc>
          <w:tcPr>
            <w:tcW w:w="1475"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107,3</w:t>
            </w:r>
          </w:p>
        </w:tc>
      </w:tr>
    </w:tbl>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p>
    <w:p w:rsidR="00A37066" w:rsidRPr="00906EA7" w:rsidRDefault="00A37066" w:rsidP="0097253F">
      <w:pPr>
        <w:widowControl w:val="0"/>
        <w:tabs>
          <w:tab w:val="left" w:pos="142"/>
        </w:tabs>
        <w:spacing w:after="0" w:line="240" w:lineRule="auto"/>
        <w:ind w:firstLine="709"/>
        <w:jc w:val="both"/>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 xml:space="preserve">В отчетном периоде продолжена работа сайта </w:t>
      </w:r>
      <w:r w:rsidRPr="00906EA7">
        <w:rPr>
          <w:rFonts w:ascii="Times New Roman" w:hAnsi="Times New Roman" w:cs="Times New Roman"/>
          <w:sz w:val="24"/>
          <w:szCs w:val="24"/>
        </w:rPr>
        <w:t>Централизованной библиотечной системы</w:t>
      </w:r>
      <w:r w:rsidRPr="00906EA7">
        <w:rPr>
          <w:rFonts w:ascii="Times New Roman" w:eastAsia="Times New Roman" w:hAnsi="Times New Roman" w:cs="Times New Roman"/>
          <w:bCs/>
          <w:sz w:val="24"/>
          <w:szCs w:val="24"/>
          <w:lang w:eastAsia="ru-RU"/>
        </w:rPr>
        <w:t>. Сайт позволяет отслеживать количество посетителей и уровень их заинтересованности, совершенствовать процесс развития информационных ресурсов и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w:t>
      </w:r>
    </w:p>
    <w:p w:rsidR="00A37066" w:rsidRPr="00906EA7" w:rsidRDefault="00A37066" w:rsidP="0097253F">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p w:rsidR="00A37066" w:rsidRPr="00906EA7" w:rsidRDefault="00A37066" w:rsidP="0097253F">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 xml:space="preserve">Показатели работы сайта </w:t>
      </w:r>
      <w:r w:rsidRPr="00906EA7">
        <w:rPr>
          <w:rFonts w:ascii="Times New Roman" w:hAnsi="Times New Roman" w:cs="Times New Roman"/>
          <w:sz w:val="24"/>
          <w:szCs w:val="24"/>
        </w:rPr>
        <w:t>Централизованной библиотечной системы</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653"/>
        <w:gridCol w:w="1653"/>
        <w:gridCol w:w="1653"/>
        <w:gridCol w:w="1587"/>
      </w:tblGrid>
      <w:tr w:rsidR="00EC6933" w:rsidRPr="00906EA7" w:rsidTr="00A37066">
        <w:trPr>
          <w:trHeight w:val="402"/>
          <w:jc w:val="center"/>
        </w:trPr>
        <w:tc>
          <w:tcPr>
            <w:tcW w:w="334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Показатели</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2017 год</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2018 год</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EC69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2019 год</w:t>
            </w:r>
          </w:p>
        </w:tc>
        <w:tc>
          <w:tcPr>
            <w:tcW w:w="1587"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w:t>
            </w:r>
          </w:p>
          <w:p w:rsidR="00EC6933" w:rsidRPr="00906EA7" w:rsidRDefault="00EC6933" w:rsidP="00145DA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16"/>
                <w:szCs w:val="16"/>
                <w:lang w:eastAsia="ru-RU"/>
              </w:rPr>
              <w:t>2019</w:t>
            </w:r>
            <w:r w:rsidR="00145DA3" w:rsidRPr="00906EA7">
              <w:rPr>
                <w:rFonts w:ascii="Times New Roman" w:eastAsia="Times New Roman" w:hAnsi="Times New Roman" w:cs="Times New Roman"/>
                <w:bCs/>
                <w:sz w:val="16"/>
                <w:szCs w:val="16"/>
                <w:lang w:eastAsia="ru-RU"/>
              </w:rPr>
              <w:t>/</w:t>
            </w:r>
            <w:r w:rsidRPr="00906EA7">
              <w:rPr>
                <w:rFonts w:ascii="Times New Roman" w:eastAsia="Times New Roman" w:hAnsi="Times New Roman" w:cs="Times New Roman"/>
                <w:bCs/>
                <w:sz w:val="16"/>
                <w:szCs w:val="16"/>
                <w:lang w:eastAsia="ru-RU"/>
              </w:rPr>
              <w:t>2018</w:t>
            </w:r>
          </w:p>
        </w:tc>
      </w:tr>
      <w:tr w:rsidR="00EC6933" w:rsidRPr="00906EA7" w:rsidTr="00EC6933">
        <w:trPr>
          <w:trHeight w:val="259"/>
          <w:jc w:val="center"/>
        </w:trPr>
        <w:tc>
          <w:tcPr>
            <w:tcW w:w="334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Просмотров сайта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eastAsia="Times New Roman" w:hAnsi="Times New Roman" w:cs="Times New Roman"/>
                <w:bCs/>
                <w:sz w:val="24"/>
                <w:szCs w:val="24"/>
                <w:lang w:eastAsia="ru-RU"/>
              </w:rPr>
              <w:t>105 733</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120 744</w:t>
            </w:r>
          </w:p>
        </w:tc>
        <w:tc>
          <w:tcPr>
            <w:tcW w:w="1653" w:type="dxa"/>
            <w:tcBorders>
              <w:top w:val="single" w:sz="4" w:space="0" w:color="auto"/>
              <w:left w:val="single" w:sz="4" w:space="0" w:color="auto"/>
              <w:bottom w:val="single" w:sz="4" w:space="0" w:color="auto"/>
              <w:right w:val="single" w:sz="4" w:space="0" w:color="auto"/>
            </w:tcBorders>
            <w:vAlign w:val="center"/>
          </w:tcPr>
          <w:p w:rsidR="00EC6933" w:rsidRPr="00906EA7" w:rsidRDefault="00EC6933" w:rsidP="0097253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131 852</w:t>
            </w:r>
          </w:p>
        </w:tc>
        <w:tc>
          <w:tcPr>
            <w:tcW w:w="1587" w:type="dxa"/>
            <w:tcBorders>
              <w:top w:val="single" w:sz="4" w:space="0" w:color="auto"/>
              <w:left w:val="single" w:sz="4" w:space="0" w:color="auto"/>
              <w:bottom w:val="single" w:sz="4" w:space="0" w:color="auto"/>
              <w:right w:val="single" w:sz="4" w:space="0" w:color="auto"/>
            </w:tcBorders>
            <w:vAlign w:val="center"/>
          </w:tcPr>
          <w:p w:rsidR="00EC6933" w:rsidRPr="00906EA7" w:rsidRDefault="00EC6933" w:rsidP="0097253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109,2</w:t>
            </w:r>
          </w:p>
        </w:tc>
      </w:tr>
      <w:tr w:rsidR="00EC6933" w:rsidRPr="00906EA7" w:rsidTr="00EC6933">
        <w:trPr>
          <w:trHeight w:val="250"/>
          <w:jc w:val="center"/>
        </w:trPr>
        <w:tc>
          <w:tcPr>
            <w:tcW w:w="334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Посещений сайта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eastAsia="Times New Roman" w:hAnsi="Times New Roman" w:cs="Times New Roman"/>
                <w:bCs/>
                <w:sz w:val="24"/>
                <w:szCs w:val="24"/>
                <w:lang w:eastAsia="ru-RU"/>
              </w:rPr>
              <w:t>34 575</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46 296</w:t>
            </w:r>
          </w:p>
        </w:tc>
        <w:tc>
          <w:tcPr>
            <w:tcW w:w="1653" w:type="dxa"/>
            <w:tcBorders>
              <w:top w:val="single" w:sz="4" w:space="0" w:color="auto"/>
              <w:left w:val="single" w:sz="4" w:space="0" w:color="auto"/>
              <w:bottom w:val="single" w:sz="4" w:space="0" w:color="auto"/>
              <w:right w:val="single" w:sz="4" w:space="0" w:color="auto"/>
            </w:tcBorders>
            <w:vAlign w:val="center"/>
          </w:tcPr>
          <w:p w:rsidR="00EC6933" w:rsidRPr="00906EA7" w:rsidRDefault="00EC6933" w:rsidP="0097253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51 296</w:t>
            </w:r>
          </w:p>
        </w:tc>
        <w:tc>
          <w:tcPr>
            <w:tcW w:w="1587" w:type="dxa"/>
            <w:tcBorders>
              <w:top w:val="single" w:sz="4" w:space="0" w:color="auto"/>
              <w:left w:val="single" w:sz="4" w:space="0" w:color="auto"/>
              <w:bottom w:val="single" w:sz="4" w:space="0" w:color="auto"/>
              <w:right w:val="single" w:sz="4" w:space="0" w:color="auto"/>
            </w:tcBorders>
            <w:vAlign w:val="center"/>
          </w:tcPr>
          <w:p w:rsidR="00EC6933" w:rsidRPr="00906EA7" w:rsidRDefault="00EC6933" w:rsidP="0097253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110,8</w:t>
            </w:r>
          </w:p>
        </w:tc>
      </w:tr>
    </w:tbl>
    <w:p w:rsidR="00A37066" w:rsidRPr="00906EA7" w:rsidRDefault="00A37066" w:rsidP="00145DA3">
      <w:pPr>
        <w:widowControl w:val="0"/>
        <w:spacing w:after="0" w:line="240" w:lineRule="auto"/>
        <w:ind w:firstLine="799"/>
        <w:jc w:val="both"/>
        <w:rPr>
          <w:rFonts w:ascii="Times New Roman" w:hAnsi="Times New Roman" w:cs="Times New Roman"/>
          <w:sz w:val="24"/>
          <w:szCs w:val="24"/>
        </w:rPr>
      </w:pPr>
    </w:p>
    <w:p w:rsidR="00A37066" w:rsidRPr="00906EA7" w:rsidRDefault="00A37066" w:rsidP="00145DA3">
      <w:pPr>
        <w:widowControl w:val="0"/>
        <w:spacing w:after="0" w:line="240" w:lineRule="auto"/>
        <w:ind w:firstLine="799"/>
        <w:jc w:val="both"/>
        <w:rPr>
          <w:rFonts w:ascii="Times New Roman" w:hAnsi="Times New Roman" w:cs="Times New Roman"/>
          <w:sz w:val="24"/>
          <w:szCs w:val="24"/>
        </w:rPr>
      </w:pPr>
      <w:r w:rsidRPr="00906EA7">
        <w:rPr>
          <w:rFonts w:ascii="Times New Roman" w:hAnsi="Times New Roman" w:cs="Times New Roman"/>
          <w:sz w:val="24"/>
          <w:szCs w:val="24"/>
        </w:rPr>
        <w:t>Организация досуга</w:t>
      </w:r>
    </w:p>
    <w:p w:rsidR="00A37066" w:rsidRPr="00906EA7" w:rsidRDefault="00A37066" w:rsidP="00145DA3">
      <w:pPr>
        <w:widowControl w:val="0"/>
        <w:spacing w:after="0" w:line="240" w:lineRule="auto"/>
        <w:ind w:firstLine="799"/>
        <w:jc w:val="both"/>
        <w:rPr>
          <w:rFonts w:ascii="Times New Roman" w:hAnsi="Times New Roman" w:cs="Times New Roman"/>
          <w:sz w:val="24"/>
          <w:szCs w:val="24"/>
        </w:rPr>
      </w:pPr>
    </w:p>
    <w:p w:rsidR="0051387C" w:rsidRPr="00906EA7" w:rsidRDefault="0051387C" w:rsidP="00145DA3">
      <w:pPr>
        <w:widowControl w:val="0"/>
        <w:spacing w:after="0" w:line="240" w:lineRule="auto"/>
        <w:ind w:firstLine="799"/>
        <w:jc w:val="both"/>
        <w:rPr>
          <w:rFonts w:ascii="Times New Roman" w:hAnsi="Times New Roman" w:cs="Times New Roman"/>
          <w:sz w:val="24"/>
          <w:szCs w:val="24"/>
        </w:rPr>
      </w:pPr>
      <w:r w:rsidRPr="00906EA7">
        <w:rPr>
          <w:rFonts w:ascii="Times New Roman" w:hAnsi="Times New Roman" w:cs="Times New Roman"/>
          <w:sz w:val="24"/>
          <w:szCs w:val="24"/>
        </w:rPr>
        <w:t>В настоящее время в городском округе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пгт Высокий на 196 мест, культурно-досуговый комплекс «Калейдоскоп» на 170 мест, парк аттракционов.</w:t>
      </w:r>
    </w:p>
    <w:p w:rsidR="008E0D14" w:rsidRPr="00906EA7" w:rsidRDefault="008E0D14"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отчетном году было проведено 859 мероприятий (2018 год - 861). Количество посещений составило 115 718 человек (2018 год – 139 497). Снижение данного показателя связано с объединением празднования Дня России и Дня рождения города Мегиона. Массовые народные гуляния на уличных площадках города были отменены в этот день в связи с неблагоприятными погодными условиями.</w:t>
      </w:r>
      <w:r w:rsidR="0051387C" w:rsidRPr="00906EA7">
        <w:rPr>
          <w:rFonts w:ascii="Times New Roman" w:hAnsi="Times New Roman" w:cs="Times New Roman"/>
          <w:sz w:val="24"/>
          <w:szCs w:val="24"/>
        </w:rPr>
        <w:t xml:space="preserve"> </w:t>
      </w:r>
    </w:p>
    <w:p w:rsidR="008E0D14" w:rsidRPr="00906EA7" w:rsidRDefault="00A37066" w:rsidP="009725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A7">
        <w:rPr>
          <w:rFonts w:ascii="Times New Roman" w:eastAsia="Calibri" w:hAnsi="Times New Roman"/>
          <w:sz w:val="24"/>
          <w:szCs w:val="24"/>
        </w:rPr>
        <w:lastRenderedPageBreak/>
        <w:t xml:space="preserve">В подразделениях учреждения действуют две киноустановки и одна видеоустановка. </w:t>
      </w:r>
      <w:r w:rsidR="008E0D14" w:rsidRPr="00906EA7">
        <w:rPr>
          <w:rFonts w:ascii="Times New Roman" w:hAnsi="Times New Roman"/>
          <w:sz w:val="24"/>
          <w:szCs w:val="24"/>
        </w:rPr>
        <w:t>По итогам года в культурно-досуговом комплексе «Калейдоскоп» продемонстрировано 2 121 сеансов (2018 год – 2 179), которые посетили 39 623 человек (2018 год – 35 639).</w:t>
      </w:r>
      <w:r w:rsidR="008E0D14" w:rsidRPr="00906EA7">
        <w:rPr>
          <w:rFonts w:ascii="Times New Roman" w:hAnsi="Times New Roman" w:cs="Times New Roman"/>
          <w:sz w:val="24"/>
          <w:szCs w:val="24"/>
        </w:rPr>
        <w:t xml:space="preserve"> Отмечается уменьшение количества киносеансов на 2,7%, но при этом количества зрителей увеличилось на 11,2%, в сравнении с 2018 годом.</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 итоговому отчету единой федеральной автоматизированной информационной системы «О результатах кинопрокатной деятельности в 2018 году», кинозал в культурно-досуговом комплексе «Калейдоскоп» по-прежнему занимает лидирующие позиции в сравнении с работой кинозалов аналогичной категории.</w:t>
      </w:r>
    </w:p>
    <w:p w:rsidR="008E0D14" w:rsidRPr="00906EA7" w:rsidRDefault="008E0D1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целях сохранения и развития творческого потенциала населения города в культурно-досуговых учреждениях города действует</w:t>
      </w:r>
      <w:r w:rsidRPr="00906EA7">
        <w:rPr>
          <w:rFonts w:ascii="Arial" w:hAnsi="Arial" w:cs="Arial"/>
          <w:sz w:val="24"/>
          <w:szCs w:val="24"/>
        </w:rPr>
        <w:t> </w:t>
      </w:r>
      <w:r w:rsidRPr="00906EA7">
        <w:rPr>
          <w:rFonts w:ascii="Times New Roman" w:hAnsi="Times New Roman" w:cs="Times New Roman"/>
          <w:sz w:val="24"/>
          <w:szCs w:val="24"/>
        </w:rPr>
        <w:t>40 клубных формирований</w:t>
      </w:r>
      <w:r w:rsidRPr="00906EA7">
        <w:rPr>
          <w:sz w:val="24"/>
          <w:szCs w:val="24"/>
        </w:rPr>
        <w:t xml:space="preserve"> </w:t>
      </w:r>
      <w:r w:rsidRPr="00906EA7">
        <w:rPr>
          <w:rFonts w:ascii="Times New Roman" w:hAnsi="Times New Roman" w:cs="Times New Roman"/>
          <w:sz w:val="24"/>
          <w:szCs w:val="24"/>
        </w:rPr>
        <w:t xml:space="preserve">различных направлений и жанров для всех возрастных групп. </w:t>
      </w:r>
    </w:p>
    <w:p w:rsidR="008E0D14" w:rsidRPr="00906EA7" w:rsidRDefault="008E0D1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8E0D14" w:rsidRPr="00906EA7" w:rsidRDefault="008E0D1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Клубы посещают 601 человек (2018 год – 587). Клубные формирования любительского художественного творчества осуществляют свою деятельность на бюджетной основе в соответствии с утвержденным муниципальным заданием. Занятия в кружках проводят профессиональные руководители. </w:t>
      </w:r>
    </w:p>
    <w:p w:rsidR="00145DA3" w:rsidRPr="00906EA7" w:rsidRDefault="00145DA3" w:rsidP="0097253F">
      <w:pPr>
        <w:pStyle w:val="ae"/>
        <w:spacing w:before="0" w:beforeAutospacing="0" w:after="0" w:afterAutospacing="0"/>
        <w:ind w:firstLine="709"/>
        <w:jc w:val="both"/>
      </w:pPr>
    </w:p>
    <w:p w:rsidR="00A37066" w:rsidRPr="00906EA7" w:rsidRDefault="00A37066" w:rsidP="0097253F">
      <w:pPr>
        <w:pStyle w:val="ae"/>
        <w:spacing w:before="0" w:beforeAutospacing="0" w:after="0" w:afterAutospacing="0"/>
        <w:ind w:firstLine="709"/>
        <w:jc w:val="both"/>
      </w:pPr>
      <w:r w:rsidRPr="00906EA7">
        <w:t>Музейное дело</w:t>
      </w:r>
    </w:p>
    <w:p w:rsidR="00A37066" w:rsidRPr="00906EA7" w:rsidRDefault="00A37066" w:rsidP="0097253F">
      <w:pPr>
        <w:pStyle w:val="ae"/>
        <w:spacing w:before="0" w:beforeAutospacing="0" w:after="0" w:afterAutospacing="0"/>
        <w:ind w:firstLine="709"/>
        <w:jc w:val="both"/>
      </w:pPr>
    </w:p>
    <w:p w:rsidR="00A37066" w:rsidRPr="00906EA7" w:rsidRDefault="00A37066" w:rsidP="0097253F">
      <w:pPr>
        <w:pStyle w:val="ae"/>
        <w:spacing w:before="0" w:beforeAutospacing="0" w:after="0" w:afterAutospacing="0"/>
        <w:ind w:firstLine="709"/>
        <w:jc w:val="both"/>
      </w:pPr>
      <w:r w:rsidRPr="00906EA7">
        <w:t xml:space="preserve">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w:t>
      </w:r>
    </w:p>
    <w:p w:rsidR="00A37066" w:rsidRPr="00906EA7" w:rsidRDefault="000F6545" w:rsidP="0097253F">
      <w:pPr>
        <w:pStyle w:val="ae"/>
        <w:spacing w:before="0" w:beforeAutospacing="0" w:after="0" w:afterAutospacing="0"/>
        <w:ind w:firstLine="709"/>
        <w:jc w:val="both"/>
      </w:pPr>
      <w:r w:rsidRPr="00906EA7">
        <w:t>В отчетном периоде</w:t>
      </w:r>
      <w:r w:rsidR="00A37066" w:rsidRPr="00906EA7">
        <w:t xml:space="preserve"> достигнуты следующие показатели:</w:t>
      </w:r>
    </w:p>
    <w:p w:rsidR="00A37066" w:rsidRPr="00906EA7" w:rsidRDefault="00A37066" w:rsidP="0097253F">
      <w:pPr>
        <w:pStyle w:val="ae"/>
        <w:spacing w:before="0" w:beforeAutospacing="0" w:after="0" w:afterAutospacing="0"/>
        <w:ind w:firstLine="709"/>
        <w:jc w:val="both"/>
      </w:pPr>
      <w:r w:rsidRPr="00906EA7">
        <w:t xml:space="preserve">доля оцифрованных музейных предметов, представленных в сети Интернет, от общего числа музейных предметов основного фонда составляет </w:t>
      </w:r>
      <w:r w:rsidR="004C5801" w:rsidRPr="00906EA7">
        <w:t>74,9</w:t>
      </w:r>
      <w:r w:rsidRPr="00906EA7">
        <w:t>%, что соответствует показателям муниципального задания на 201</w:t>
      </w:r>
      <w:r w:rsidR="004C5801" w:rsidRPr="00906EA7">
        <w:t>9</w:t>
      </w:r>
      <w:r w:rsidRPr="00906EA7">
        <w:t xml:space="preserve"> год;</w:t>
      </w:r>
    </w:p>
    <w:p w:rsidR="00A37066" w:rsidRPr="00906EA7" w:rsidRDefault="00A37066" w:rsidP="0097253F">
      <w:pPr>
        <w:pStyle w:val="ae"/>
        <w:spacing w:before="0" w:beforeAutospacing="0" w:after="0" w:afterAutospacing="0"/>
        <w:ind w:firstLine="709"/>
        <w:jc w:val="both"/>
      </w:pPr>
      <w:r w:rsidRPr="00906EA7">
        <w:t>доля музейных предметов и музейных коллекций, отраженных в электронных каталогах в общем объеме музейных фондов и музейных коллекций в учреждении исполнен</w:t>
      </w:r>
      <w:r w:rsidR="004C5801" w:rsidRPr="00906EA7">
        <w:t>а</w:t>
      </w:r>
      <w:r w:rsidRPr="00906EA7">
        <w:t xml:space="preserve"> на 100%.</w:t>
      </w:r>
    </w:p>
    <w:p w:rsidR="00A37066" w:rsidRPr="00906EA7" w:rsidRDefault="00A37066" w:rsidP="0097253F">
      <w:pPr>
        <w:widowControl w:val="0"/>
        <w:spacing w:after="0" w:line="240" w:lineRule="auto"/>
        <w:ind w:firstLine="709"/>
        <w:jc w:val="right"/>
        <w:rPr>
          <w:rFonts w:ascii="Times New Roman" w:eastAsia="Times New Roman" w:hAnsi="Times New Roman" w:cs="Times New Roman"/>
          <w:sz w:val="24"/>
          <w:szCs w:val="24"/>
          <w:lang w:eastAsia="ru-RU"/>
        </w:rPr>
      </w:pPr>
    </w:p>
    <w:p w:rsidR="00A37066" w:rsidRPr="00906EA7" w:rsidRDefault="00A37066" w:rsidP="0097253F">
      <w:pPr>
        <w:widowControl w:val="0"/>
        <w:spacing w:after="0" w:line="240" w:lineRule="auto"/>
        <w:ind w:firstLine="708"/>
        <w:jc w:val="center"/>
        <w:rPr>
          <w:rFonts w:ascii="Times New Roman" w:hAnsi="Times New Roman" w:cs="Times New Roman"/>
          <w:sz w:val="24"/>
          <w:szCs w:val="24"/>
        </w:rPr>
      </w:pPr>
      <w:r w:rsidRPr="00906EA7">
        <w:rPr>
          <w:rFonts w:ascii="Times New Roman" w:hAnsi="Times New Roman" w:cs="Times New Roman"/>
          <w:sz w:val="24"/>
          <w:szCs w:val="24"/>
        </w:rPr>
        <w:t>Основные показатели за 201</w:t>
      </w:r>
      <w:r w:rsidR="008E0D14" w:rsidRPr="00906EA7">
        <w:rPr>
          <w:rFonts w:ascii="Times New Roman" w:hAnsi="Times New Roman" w:cs="Times New Roman"/>
          <w:sz w:val="24"/>
          <w:szCs w:val="24"/>
        </w:rPr>
        <w:t>7</w:t>
      </w:r>
      <w:r w:rsidRPr="00906EA7">
        <w:rPr>
          <w:rFonts w:ascii="Times New Roman" w:hAnsi="Times New Roman" w:cs="Times New Roman"/>
          <w:sz w:val="24"/>
          <w:szCs w:val="24"/>
        </w:rPr>
        <w:t>-201</w:t>
      </w:r>
      <w:r w:rsidR="008E0D14"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4"/>
        <w:gridCol w:w="1277"/>
        <w:gridCol w:w="1276"/>
        <w:gridCol w:w="1276"/>
        <w:gridCol w:w="1277"/>
      </w:tblGrid>
      <w:tr w:rsidR="008E0D14" w:rsidRPr="00906EA7" w:rsidTr="001875D3">
        <w:trPr>
          <w:trHeight w:val="579"/>
          <w:tblHeader/>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firstLine="708"/>
              <w:jc w:val="center"/>
              <w:rPr>
                <w:rFonts w:ascii="Times New Roman" w:hAnsi="Times New Roman" w:cs="Times New Roman"/>
                <w:sz w:val="20"/>
                <w:szCs w:val="20"/>
              </w:rPr>
            </w:pPr>
            <w:r w:rsidRPr="00906EA7">
              <w:rPr>
                <w:rFonts w:ascii="Times New Roman" w:hAnsi="Times New Roman" w:cs="Times New Roman"/>
                <w:sz w:val="20"/>
                <w:szCs w:val="20"/>
              </w:rPr>
              <w:t>Показатели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020238"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2019/</w:t>
            </w:r>
            <w:r w:rsidR="008E0D14" w:rsidRPr="00906EA7">
              <w:rPr>
                <w:rFonts w:ascii="Times New Roman" w:hAnsi="Times New Roman" w:cs="Times New Roman"/>
                <w:sz w:val="20"/>
                <w:szCs w:val="20"/>
              </w:rPr>
              <w:t>2018</w:t>
            </w:r>
          </w:p>
        </w:tc>
      </w:tr>
      <w:tr w:rsidR="008E0D14" w:rsidRPr="00906EA7" w:rsidTr="001875D3">
        <w:trPr>
          <w:trHeight w:val="687"/>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b/>
                <w:sz w:val="24"/>
                <w:szCs w:val="24"/>
              </w:rPr>
            </w:pPr>
            <w:r w:rsidRPr="00906EA7">
              <w:rPr>
                <w:rFonts w:ascii="Times New Roman" w:hAnsi="Times New Roman" w:cs="Times New Roman"/>
                <w:sz w:val="24"/>
                <w:szCs w:val="24"/>
              </w:rPr>
              <w:t>Число предметов музейного фонда, единиц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18 357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18 914</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19 144</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101,2</w:t>
            </w:r>
          </w:p>
        </w:tc>
      </w:tr>
      <w:tr w:rsidR="008E0D14" w:rsidRPr="00906EA7" w:rsidTr="008E0D14">
        <w:trPr>
          <w:trHeight w:val="588"/>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b/>
                <w:sz w:val="24"/>
                <w:szCs w:val="24"/>
              </w:rPr>
            </w:pPr>
            <w:r w:rsidRPr="00906EA7">
              <w:rPr>
                <w:rFonts w:ascii="Times New Roman" w:hAnsi="Times New Roman" w:cs="Times New Roman"/>
                <w:sz w:val="24"/>
                <w:szCs w:val="24"/>
              </w:rPr>
              <w:t xml:space="preserve">Количество музейных предметов внесенных в электронный каталог, единиц </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18 357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18 914</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19 144</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101,2</w:t>
            </w:r>
          </w:p>
        </w:tc>
      </w:tr>
      <w:tr w:rsidR="008E0D14" w:rsidRPr="00906EA7" w:rsidTr="008E0D14">
        <w:trPr>
          <w:trHeight w:val="74"/>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b/>
                <w:sz w:val="24"/>
                <w:szCs w:val="24"/>
              </w:rPr>
            </w:pPr>
            <w:r w:rsidRPr="00906EA7">
              <w:rPr>
                <w:rFonts w:ascii="Times New Roman" w:hAnsi="Times New Roman" w:cs="Times New Roman"/>
                <w:sz w:val="24"/>
                <w:szCs w:val="24"/>
              </w:rPr>
              <w:t>Число музейных предметов, имеющих цифровые изображения, единиц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12 707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13 618</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14 34</w:t>
            </w:r>
            <w:r w:rsidR="008B407C" w:rsidRPr="00906EA7">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105,3</w:t>
            </w:r>
          </w:p>
        </w:tc>
      </w:tr>
      <w:tr w:rsidR="008E0D14" w:rsidRPr="00906EA7" w:rsidTr="008E0D14">
        <w:trPr>
          <w:trHeight w:val="209"/>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Количество оцифрованных музейных предметов, представленных в сети интернет, единиц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12 134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13 618</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14 340</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105,3</w:t>
            </w:r>
          </w:p>
        </w:tc>
      </w:tr>
      <w:tr w:rsidR="008E0D14" w:rsidRPr="00906EA7" w:rsidTr="008E0D14">
        <w:trPr>
          <w:trHeight w:val="783"/>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Количество музейных предметов основного фонда, которые экспонировались, единиц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3 724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2 692</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2 345</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87,1</w:t>
            </w:r>
          </w:p>
        </w:tc>
      </w:tr>
      <w:tr w:rsidR="008E0D14" w:rsidRPr="00906EA7" w:rsidTr="001875D3">
        <w:trPr>
          <w:trHeight w:val="445"/>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 xml:space="preserve">Число посещений, человек </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24 100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25 000</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2A5CFF"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25 100</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100,4</w:t>
            </w:r>
          </w:p>
        </w:tc>
      </w:tr>
    </w:tbl>
    <w:p w:rsidR="00A37066" w:rsidRPr="00906EA7" w:rsidRDefault="004C5801" w:rsidP="0097253F">
      <w:pPr>
        <w:widowControl w:val="0"/>
        <w:spacing w:after="0" w:line="240" w:lineRule="auto"/>
        <w:ind w:firstLine="709"/>
        <w:jc w:val="both"/>
        <w:rPr>
          <w:rFonts w:ascii="Times New Roman" w:eastAsia="Calibri" w:hAnsi="Times New Roman"/>
          <w:sz w:val="24"/>
          <w:szCs w:val="24"/>
        </w:rPr>
      </w:pPr>
      <w:r w:rsidRPr="00906EA7">
        <w:rPr>
          <w:rFonts w:ascii="Times New Roman" w:eastAsia="Calibri" w:hAnsi="Times New Roman"/>
          <w:sz w:val="24"/>
          <w:szCs w:val="24"/>
        </w:rPr>
        <w:lastRenderedPageBreak/>
        <w:t>Ведется системная работа по изучению и возрождению народных художественных промыслов и ремесел, исторически и географически сложившихся в автономном округе, а также традиционных и современных видов декоративно-прикладного искусства.</w:t>
      </w:r>
    </w:p>
    <w:p w:rsidR="006C280B" w:rsidRPr="00906EA7" w:rsidRDefault="006C280B" w:rsidP="0097253F">
      <w:pPr>
        <w:widowControl w:val="0"/>
        <w:spacing w:after="0" w:line="240" w:lineRule="auto"/>
        <w:ind w:firstLine="709"/>
        <w:jc w:val="both"/>
        <w:rPr>
          <w:rFonts w:ascii="Times New Roman" w:hAnsi="Times New Roman" w:cs="Times New Roman"/>
          <w:sz w:val="24"/>
          <w:szCs w:val="24"/>
        </w:rPr>
      </w:pPr>
    </w:p>
    <w:p w:rsidR="00651B1B" w:rsidRDefault="00651B1B" w:rsidP="0097253F">
      <w:pPr>
        <w:widowControl w:val="0"/>
        <w:spacing w:after="0" w:line="240" w:lineRule="auto"/>
        <w:ind w:firstLine="709"/>
        <w:jc w:val="both"/>
        <w:rPr>
          <w:rFonts w:ascii="Times New Roman" w:hAnsi="Times New Roman" w:cs="Times New Roman"/>
          <w:sz w:val="24"/>
          <w:szCs w:val="24"/>
        </w:rPr>
      </w:pPr>
    </w:p>
    <w:p w:rsidR="00651B1B" w:rsidRDefault="00651B1B"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Концертная деятельность</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Данную деятельность на территории городского округа осуществляет  муниципальное автономное учреждение «Театр музыки», которое  осуществляет организацию и проведение концертных, театральных, зрелищных мероприятий, музыкальных спектаклей, сольных программ.</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 </w:t>
      </w: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r w:rsidRPr="00906EA7">
        <w:rPr>
          <w:rFonts w:ascii="Times New Roman" w:hAnsi="Times New Roman" w:cs="Times New Roman"/>
          <w:sz w:val="24"/>
          <w:szCs w:val="24"/>
        </w:rPr>
        <w:t>Основные показатели деятельности за 201</w:t>
      </w:r>
      <w:r w:rsidR="00145DA3" w:rsidRPr="00906EA7">
        <w:rPr>
          <w:rFonts w:ascii="Times New Roman" w:hAnsi="Times New Roman" w:cs="Times New Roman"/>
          <w:sz w:val="24"/>
          <w:szCs w:val="24"/>
        </w:rPr>
        <w:t>7</w:t>
      </w:r>
      <w:r w:rsidRPr="00906EA7">
        <w:rPr>
          <w:rFonts w:ascii="Times New Roman" w:hAnsi="Times New Roman" w:cs="Times New Roman"/>
          <w:sz w:val="24"/>
          <w:szCs w:val="24"/>
        </w:rPr>
        <w:t>-201</w:t>
      </w:r>
      <w:r w:rsidR="00145DA3"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pStyle w:val="ConsPlusNonformat"/>
        <w:widowControl w:val="0"/>
        <w:ind w:firstLine="708"/>
        <w:jc w:val="right"/>
        <w:rPr>
          <w:rFonts w:ascii="Times New Roman" w:hAnsi="Times New Roman" w:cs="Times New Roman"/>
          <w:sz w:val="24"/>
          <w:szCs w:val="24"/>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8"/>
        <w:gridCol w:w="1391"/>
        <w:gridCol w:w="1391"/>
        <w:gridCol w:w="1391"/>
        <w:gridCol w:w="1453"/>
      </w:tblGrid>
      <w:tr w:rsidR="00906EA7" w:rsidRPr="00906EA7" w:rsidTr="00145DA3">
        <w:trPr>
          <w:trHeight w:val="341"/>
          <w:tblHeader/>
        </w:trPr>
        <w:tc>
          <w:tcPr>
            <w:tcW w:w="3878" w:type="dxa"/>
            <w:vMerge w:val="restart"/>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rFonts w:eastAsia="Calibri"/>
                <w:sz w:val="20"/>
                <w:szCs w:val="20"/>
              </w:rPr>
            </w:pPr>
            <w:r w:rsidRPr="00906EA7">
              <w:rPr>
                <w:rFonts w:eastAsia="Calibri"/>
                <w:sz w:val="20"/>
                <w:szCs w:val="20"/>
              </w:rPr>
              <w:t>Наименование</w:t>
            </w:r>
          </w:p>
          <w:p w:rsidR="00A37066" w:rsidRPr="00906EA7" w:rsidRDefault="00A37066"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показателя</w:t>
            </w:r>
          </w:p>
        </w:tc>
        <w:tc>
          <w:tcPr>
            <w:tcW w:w="5626" w:type="dxa"/>
            <w:gridSpan w:val="4"/>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Значения показателей качества муниципальной услуги</w:t>
            </w:r>
          </w:p>
        </w:tc>
      </w:tr>
      <w:tr w:rsidR="004C5801" w:rsidRPr="00906EA7" w:rsidTr="004C5801">
        <w:trPr>
          <w:trHeight w:val="296"/>
          <w:tblHeader/>
        </w:trPr>
        <w:tc>
          <w:tcPr>
            <w:tcW w:w="3878" w:type="dxa"/>
            <w:vMerge/>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spacing w:after="0" w:line="240" w:lineRule="auto"/>
              <w:rPr>
                <w:rFonts w:ascii="Times New Roman" w:eastAsia="Calibri" w:hAnsi="Times New Roman" w:cs="Times New Roman"/>
                <w:sz w:val="20"/>
                <w:szCs w:val="20"/>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2017 год</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2018 год</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2019 год</w:t>
            </w:r>
          </w:p>
        </w:tc>
        <w:tc>
          <w:tcPr>
            <w:tcW w:w="1453"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sz w:val="20"/>
                <w:szCs w:val="20"/>
              </w:rPr>
            </w:pPr>
            <w:r w:rsidRPr="00906EA7">
              <w:rPr>
                <w:rFonts w:eastAsia="Calibri"/>
                <w:sz w:val="20"/>
                <w:szCs w:val="20"/>
              </w:rPr>
              <w:t xml:space="preserve">%, </w:t>
            </w:r>
          </w:p>
          <w:p w:rsidR="004C5801" w:rsidRPr="00906EA7" w:rsidRDefault="00020238"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2019/</w:t>
            </w:r>
            <w:r w:rsidR="004C5801" w:rsidRPr="00906EA7">
              <w:rPr>
                <w:rFonts w:eastAsia="Calibri"/>
                <w:sz w:val="20"/>
                <w:szCs w:val="20"/>
              </w:rPr>
              <w:t>2018</w:t>
            </w:r>
          </w:p>
        </w:tc>
      </w:tr>
      <w:tr w:rsidR="004C5801" w:rsidRPr="00906EA7" w:rsidTr="004C5801">
        <w:trPr>
          <w:trHeight w:val="206"/>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Среднее число зрителей на одном мероприятии, человек</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52</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40</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75</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187,5</w:t>
            </w:r>
          </w:p>
        </w:tc>
      </w:tr>
      <w:tr w:rsidR="004C5801" w:rsidRPr="00906EA7" w:rsidTr="004C5801">
        <w:trPr>
          <w:trHeight w:val="206"/>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Средняя наполняемость концертного зала,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100,4</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66,6</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102</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153,2</w:t>
            </w:r>
          </w:p>
        </w:tc>
      </w:tr>
      <w:tr w:rsidR="004C5801" w:rsidRPr="00906EA7" w:rsidTr="004C5801">
        <w:trPr>
          <w:trHeight w:val="206"/>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 xml:space="preserve">Число новых и капитально восстановленных постановок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6</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5</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5</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100</w:t>
            </w:r>
          </w:p>
        </w:tc>
      </w:tr>
      <w:tr w:rsidR="004C5801" w:rsidRPr="00906EA7" w:rsidTr="001875D3">
        <w:trPr>
          <w:trHeight w:val="377"/>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в том числе для детей</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3</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2</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66,7</w:t>
            </w:r>
          </w:p>
        </w:tc>
      </w:tr>
      <w:tr w:rsidR="004C5801" w:rsidRPr="00906EA7" w:rsidTr="001875D3">
        <w:trPr>
          <w:trHeight w:val="411"/>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Число мероприятий, 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75</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73</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75</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102,7</w:t>
            </w:r>
          </w:p>
        </w:tc>
      </w:tr>
      <w:tr w:rsidR="004C5801" w:rsidRPr="00906EA7" w:rsidTr="001875D3">
        <w:trPr>
          <w:trHeight w:val="404"/>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в том числе для детей</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24</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28</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116,7</w:t>
            </w:r>
          </w:p>
        </w:tc>
      </w:tr>
      <w:tr w:rsidR="004C5801" w:rsidRPr="00906EA7" w:rsidTr="004C5801">
        <w:trPr>
          <w:trHeight w:val="206"/>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 xml:space="preserve"> в том числе участие в городских мероприятиях</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32</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20</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47</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в 2,3 раза</w:t>
            </w:r>
          </w:p>
        </w:tc>
      </w:tr>
      <w:tr w:rsidR="004C5801" w:rsidRPr="00906EA7" w:rsidTr="001875D3">
        <w:trPr>
          <w:trHeight w:val="431"/>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 xml:space="preserve">Число зрителей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7869</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6694</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7615</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113,8</w:t>
            </w:r>
          </w:p>
        </w:tc>
      </w:tr>
    </w:tbl>
    <w:p w:rsidR="00A37066" w:rsidRPr="00906EA7" w:rsidRDefault="00A37066" w:rsidP="0097253F">
      <w:pPr>
        <w:pStyle w:val="ae"/>
        <w:spacing w:before="0" w:beforeAutospacing="0" w:after="0" w:afterAutospacing="0"/>
        <w:ind w:firstLine="708"/>
        <w:jc w:val="both"/>
        <w:rPr>
          <w:rFonts w:eastAsia="Calibri"/>
        </w:rPr>
      </w:pPr>
    </w:p>
    <w:p w:rsidR="0067738A" w:rsidRPr="00906EA7" w:rsidRDefault="0067738A" w:rsidP="0097253F">
      <w:pPr>
        <w:widowControl w:val="0"/>
        <w:spacing w:after="0" w:line="240" w:lineRule="auto"/>
        <w:ind w:firstLine="709"/>
        <w:jc w:val="both"/>
        <w:rPr>
          <w:rFonts w:ascii="Times New Roman" w:eastAsia="Times New Roman" w:hAnsi="Times New Roman"/>
          <w:sz w:val="24"/>
          <w:szCs w:val="24"/>
          <w:lang w:eastAsia="ru-RU"/>
        </w:rPr>
      </w:pPr>
      <w:r w:rsidRPr="00906EA7">
        <w:rPr>
          <w:rFonts w:ascii="Times New Roman" w:hAnsi="Times New Roman"/>
          <w:sz w:val="24"/>
          <w:szCs w:val="24"/>
        </w:rPr>
        <w:t xml:space="preserve">Деятельность театра в 2019 году была направлена на восстановление и постановку детских спектаклей для возрастов 6+ ,12+, постановку новых спектаклей, и как результат </w:t>
      </w:r>
      <w:r w:rsidRPr="00906EA7">
        <w:rPr>
          <w:rFonts w:ascii="Times New Roman" w:eastAsia="Times New Roman" w:hAnsi="Times New Roman"/>
          <w:sz w:val="24"/>
          <w:szCs w:val="24"/>
          <w:lang w:eastAsia="ru-RU"/>
        </w:rPr>
        <w:t>увеличилось число зрителей, а также число спектаклей, показанны</w:t>
      </w:r>
      <w:r w:rsidR="00145DA3" w:rsidRPr="00906EA7">
        <w:rPr>
          <w:rFonts w:ascii="Times New Roman" w:eastAsia="Times New Roman" w:hAnsi="Times New Roman"/>
          <w:sz w:val="24"/>
          <w:szCs w:val="24"/>
          <w:lang w:eastAsia="ru-RU"/>
        </w:rPr>
        <w:t>х</w:t>
      </w:r>
      <w:r w:rsidRPr="00906EA7">
        <w:rPr>
          <w:rFonts w:ascii="Times New Roman" w:eastAsia="Times New Roman" w:hAnsi="Times New Roman"/>
          <w:sz w:val="24"/>
          <w:szCs w:val="24"/>
          <w:lang w:eastAsia="ru-RU"/>
        </w:rPr>
        <w:t xml:space="preserve"> в стационарных условиях, среднее число зрителей на одном мероприятии и средняя наполняемость зрительного зала по сравнению с прошлым годом.</w:t>
      </w:r>
    </w:p>
    <w:p w:rsidR="00A37066" w:rsidRPr="00906EA7" w:rsidRDefault="00A37066"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Обеспеченность населения клубными учреждениями составляет </w:t>
      </w:r>
      <w:r w:rsidR="0067738A" w:rsidRPr="00906EA7">
        <w:rPr>
          <w:rFonts w:ascii="Times New Roman" w:eastAsia="Calibri" w:hAnsi="Times New Roman" w:cs="Times New Roman"/>
          <w:sz w:val="24"/>
          <w:szCs w:val="24"/>
        </w:rPr>
        <w:t>100</w:t>
      </w:r>
      <w:r w:rsidRPr="00906EA7">
        <w:rPr>
          <w:rFonts w:ascii="Times New Roman" w:eastAsia="Calibri" w:hAnsi="Times New Roman" w:cs="Times New Roman"/>
          <w:sz w:val="24"/>
          <w:szCs w:val="24"/>
        </w:rPr>
        <w:t xml:space="preserve">%, музеями </w:t>
      </w:r>
      <w:r w:rsidR="0067738A" w:rsidRPr="00906EA7">
        <w:rPr>
          <w:rFonts w:ascii="Times New Roman" w:eastAsia="Calibri" w:hAnsi="Times New Roman" w:cs="Times New Roman"/>
          <w:sz w:val="24"/>
          <w:szCs w:val="24"/>
        </w:rPr>
        <w:t>1</w:t>
      </w:r>
      <w:r w:rsidRPr="00906EA7">
        <w:rPr>
          <w:rFonts w:ascii="Times New Roman" w:eastAsia="Calibri" w:hAnsi="Times New Roman" w:cs="Times New Roman"/>
          <w:sz w:val="24"/>
          <w:szCs w:val="24"/>
        </w:rPr>
        <w:t xml:space="preserve">50,0%, библиотеками 100,0% и детскими школами эстетического воспитания </w:t>
      </w:r>
      <w:r w:rsidR="0067738A" w:rsidRPr="00906EA7">
        <w:rPr>
          <w:rFonts w:ascii="Times New Roman" w:eastAsia="Calibri" w:hAnsi="Times New Roman" w:cs="Times New Roman"/>
          <w:sz w:val="24"/>
          <w:szCs w:val="24"/>
        </w:rPr>
        <w:t>99,4</w:t>
      </w:r>
      <w:r w:rsidRPr="00906EA7">
        <w:rPr>
          <w:rFonts w:ascii="Times New Roman" w:eastAsia="Calibri" w:hAnsi="Times New Roman" w:cs="Times New Roman"/>
          <w:sz w:val="24"/>
          <w:szCs w:val="24"/>
        </w:rPr>
        <w:t>%.</w:t>
      </w:r>
    </w:p>
    <w:p w:rsidR="001875D3" w:rsidRPr="00906EA7" w:rsidRDefault="001875D3" w:rsidP="0097253F">
      <w:pPr>
        <w:widowControl w:val="0"/>
        <w:spacing w:after="0" w:line="240" w:lineRule="auto"/>
        <w:rPr>
          <w:rFonts w:ascii="Times New Roman" w:eastAsia="Calibri" w:hAnsi="Times New Roman"/>
          <w:sz w:val="32"/>
          <w:szCs w:val="32"/>
        </w:rPr>
      </w:pPr>
    </w:p>
    <w:p w:rsidR="00A37066" w:rsidRPr="00906EA7" w:rsidRDefault="00A37066" w:rsidP="0097253F">
      <w:pPr>
        <w:widowControl w:val="0"/>
        <w:spacing w:after="0" w:line="240" w:lineRule="auto"/>
        <w:ind w:firstLine="708"/>
        <w:rPr>
          <w:rFonts w:ascii="Times New Roman" w:eastAsia="Calibri" w:hAnsi="Times New Roman"/>
          <w:sz w:val="24"/>
        </w:rPr>
      </w:pPr>
      <w:r w:rsidRPr="00906EA7">
        <w:rPr>
          <w:rFonts w:ascii="Times New Roman" w:eastAsia="Calibri" w:hAnsi="Times New Roman"/>
          <w:sz w:val="24"/>
        </w:rPr>
        <w:t>ФИЗИЧЕСКАЯ КУЛЬТУРА И СПОРТ</w:t>
      </w:r>
    </w:p>
    <w:p w:rsidR="00A37066" w:rsidRPr="00906EA7" w:rsidRDefault="00A37066" w:rsidP="0097253F">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A37066" w:rsidRPr="00906EA7" w:rsidRDefault="00A37066" w:rsidP="0097253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6EA7">
        <w:rPr>
          <w:rFonts w:ascii="Times New Roman" w:hAnsi="Times New Roman" w:cs="Times New Roman"/>
          <w:bCs/>
          <w:sz w:val="24"/>
          <w:szCs w:val="24"/>
        </w:rPr>
        <w:t>Отрасль «физическая культура и спорт» городского округа представлена двумя учреждениями дополнительного образования детей: муниципальное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w:t>
      </w:r>
    </w:p>
    <w:p w:rsidR="00A57117"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bCs/>
          <w:sz w:val="24"/>
          <w:szCs w:val="24"/>
        </w:rPr>
        <w:t xml:space="preserve">Кроме муниципальных учреждений </w:t>
      </w:r>
      <w:r w:rsidRPr="00906EA7">
        <w:rPr>
          <w:rFonts w:ascii="Times New Roman" w:eastAsia="Times New Roman" w:hAnsi="Times New Roman" w:cs="Times New Roman"/>
          <w:sz w:val="24"/>
          <w:szCs w:val="24"/>
          <w:lang w:eastAsia="ru-RU"/>
        </w:rPr>
        <w:t xml:space="preserve">на территории Мегиона осуществляют деятельность по предоставлению услуг в сфере физической культуры и спорта: спортивно-оздоровительный комплекс «Жемчужина» градообразующего предприятия </w:t>
      </w:r>
      <w:r w:rsidR="00A57117" w:rsidRPr="00906EA7">
        <w:rPr>
          <w:rFonts w:ascii="Times New Roman" w:eastAsia="Times New Roman" w:hAnsi="Times New Roman" w:cs="Times New Roman"/>
          <w:sz w:val="24"/>
          <w:szCs w:val="24"/>
          <w:lang w:eastAsia="ru-RU"/>
        </w:rPr>
        <w:t>публичного</w:t>
      </w:r>
      <w:r w:rsidRPr="00906EA7">
        <w:rPr>
          <w:rFonts w:ascii="Times New Roman" w:eastAsia="Times New Roman" w:hAnsi="Times New Roman" w:cs="Times New Roman"/>
          <w:sz w:val="24"/>
          <w:szCs w:val="24"/>
          <w:lang w:eastAsia="ru-RU"/>
        </w:rPr>
        <w:t xml:space="preserve"> акционерно</w:t>
      </w:r>
      <w:r w:rsidR="00A57117" w:rsidRPr="00906EA7">
        <w:rPr>
          <w:rFonts w:ascii="Times New Roman" w:eastAsia="Times New Roman" w:hAnsi="Times New Roman" w:cs="Times New Roman"/>
          <w:sz w:val="24"/>
          <w:szCs w:val="24"/>
          <w:lang w:eastAsia="ru-RU"/>
        </w:rPr>
        <w:t>го</w:t>
      </w:r>
      <w:r w:rsidRPr="00906EA7">
        <w:rPr>
          <w:rFonts w:ascii="Times New Roman" w:eastAsia="Times New Roman" w:hAnsi="Times New Roman" w:cs="Times New Roman"/>
          <w:sz w:val="24"/>
          <w:szCs w:val="24"/>
          <w:lang w:eastAsia="ru-RU"/>
        </w:rPr>
        <w:t xml:space="preserve"> обществ</w:t>
      </w:r>
      <w:r w:rsidR="00A57117"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«Славнефть-Мегионнефтегаз», </w:t>
      </w:r>
      <w:r w:rsidR="00A57117" w:rsidRPr="00906EA7">
        <w:rPr>
          <w:rFonts w:ascii="Times New Roman" w:eastAsia="Times New Roman" w:hAnsi="Times New Roman" w:cs="Times New Roman"/>
          <w:sz w:val="24"/>
          <w:szCs w:val="24"/>
          <w:lang w:eastAsia="ru-RU"/>
        </w:rPr>
        <w:t xml:space="preserve">частные малые предприятия и </w:t>
      </w:r>
      <w:r w:rsidR="00A57117" w:rsidRPr="00906EA7">
        <w:rPr>
          <w:rFonts w:ascii="Times New Roman" w:eastAsia="Times New Roman" w:hAnsi="Times New Roman" w:cs="Times New Roman"/>
          <w:sz w:val="24"/>
          <w:szCs w:val="24"/>
          <w:lang w:eastAsia="ru-RU"/>
        </w:rPr>
        <w:lastRenderedPageBreak/>
        <w:t xml:space="preserve">индивидуальные предприниматели: семейный физкультурно-оздоровительный клуб «Пантеон», фитнесс-клуб «Мега», центр восстановления и реабилитации «Счастливая мама», фитнес-класса «Ля Фит», автономная некоммерческая организация «Спортивно-оздоровительный центр «Атмосфера», местная мегионская городская спортивная организация «Северная Лига», </w:t>
      </w:r>
      <w:r w:rsidR="00A57117" w:rsidRPr="00906EA7">
        <w:rPr>
          <w:rFonts w:ascii="Times New Roman" w:hAnsi="Times New Roman" w:cs="Times New Roman"/>
          <w:sz w:val="24"/>
          <w:szCs w:val="24"/>
        </w:rPr>
        <w:t>автономная некоммерческая организация «Боксерский клуб «9 Легион».</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Для занятий физической культурой и спортом различных возрастных категорий населения функционирует </w:t>
      </w:r>
      <w:r w:rsidR="007F35B7" w:rsidRPr="00906EA7">
        <w:rPr>
          <w:rFonts w:ascii="Times New Roman" w:hAnsi="Times New Roman" w:cs="Times New Roman"/>
          <w:sz w:val="24"/>
          <w:szCs w:val="24"/>
        </w:rPr>
        <w:t>8</w:t>
      </w:r>
      <w:r w:rsidRPr="00906EA7">
        <w:rPr>
          <w:rFonts w:ascii="Times New Roman" w:hAnsi="Times New Roman" w:cs="Times New Roman"/>
          <w:sz w:val="24"/>
          <w:szCs w:val="24"/>
        </w:rPr>
        <w:t xml:space="preserve">5 спортивных сооружений с единовременной пропускной способностью </w:t>
      </w:r>
      <w:r w:rsidR="007F35B7" w:rsidRPr="00906EA7">
        <w:rPr>
          <w:rFonts w:ascii="Times New Roman" w:hAnsi="Times New Roman" w:cs="Times New Roman"/>
          <w:sz w:val="24"/>
          <w:szCs w:val="24"/>
        </w:rPr>
        <w:t>2 347</w:t>
      </w:r>
      <w:r w:rsidRPr="00906EA7">
        <w:rPr>
          <w:rFonts w:ascii="Times New Roman" w:hAnsi="Times New Roman" w:cs="Times New Roman"/>
          <w:sz w:val="24"/>
          <w:szCs w:val="24"/>
        </w:rPr>
        <w:t xml:space="preserve"> человек. </w:t>
      </w:r>
      <w:r w:rsidR="007F35B7" w:rsidRPr="00906EA7">
        <w:rPr>
          <w:rFonts w:ascii="Times New Roman" w:hAnsi="Times New Roman" w:cs="Times New Roman"/>
          <w:sz w:val="24"/>
          <w:szCs w:val="24"/>
        </w:rPr>
        <w:t>Увеличение количества спортивных сооружений связано с вводом в эксплуатацию спортивного центра с универсальным игровым залом и плоскостными спортивными сооружениями, а также установкой на территории города Мегион двух площадок «Street Workout» и площадки для сдачи норм ВФСК «Готов к труду и обороне «ГТО». Спортивные площадки приобретены городу Мегиону Департаментом физической культуры и спорта Ханты-Мансийского автономного округа – Югры в рамках исполнения регионального проекта «Спорт – норма жизни».</w:t>
      </w:r>
    </w:p>
    <w:p w:rsidR="004F0885" w:rsidRPr="00906EA7" w:rsidRDefault="004F0885"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Численность населения, систематически занимающегося физической культурой и спортом, по состоянию на 01.01.2020 в городском округе составила 19 306 чел. (2018 – 18 818 чел.), что составляет 37,5% от количества жителей в возрасте от 3 до 79 лет. Доля населения систематически занимающегося физической культурой и спортом, увеличилась на 2,53% по сравнению с 2018 годом.</w:t>
      </w:r>
    </w:p>
    <w:p w:rsidR="004F0885" w:rsidRPr="00906EA7" w:rsidRDefault="004F0885"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w:t>
      </w:r>
      <w:r w:rsidRPr="00906EA7">
        <w:rPr>
          <w:rFonts w:ascii="Times New Roman" w:hAnsi="Times New Roman" w:cs="Times New Roman"/>
          <w:sz w:val="24"/>
          <w:szCs w:val="24"/>
        </w:rPr>
        <w:t xml:space="preserve"> 2019 году была продолжена работа по развитию и популяризации видов спорта, развивающихся на территории города. </w:t>
      </w:r>
    </w:p>
    <w:p w:rsidR="004F0885" w:rsidRPr="00906EA7" w:rsidRDefault="004F0885"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За отчетный период проведено 192 (2018 год – 188) спортивно-массовых мероприятий, в которых приняли участие </w:t>
      </w:r>
      <w:r w:rsidRPr="00906EA7">
        <w:rPr>
          <w:rFonts w:ascii="Times New Roman" w:eastAsia="Times New Roman" w:hAnsi="Times New Roman" w:cs="Times New Roman"/>
          <w:sz w:val="24"/>
          <w:szCs w:val="24"/>
          <w:lang w:eastAsia="ru-RU"/>
        </w:rPr>
        <w:t xml:space="preserve">13 165 </w:t>
      </w:r>
      <w:r w:rsidRPr="00906EA7">
        <w:rPr>
          <w:rFonts w:ascii="Times New Roman" w:hAnsi="Times New Roman" w:cs="Times New Roman"/>
          <w:sz w:val="24"/>
          <w:szCs w:val="24"/>
        </w:rPr>
        <w:t xml:space="preserve">чел. (2017 год – 12 573 чел.), в том числе </w:t>
      </w:r>
      <w:r w:rsidRPr="00906EA7">
        <w:rPr>
          <w:rFonts w:ascii="Times New Roman" w:eastAsia="Times New Roman" w:hAnsi="Times New Roman" w:cs="Times New Roman"/>
          <w:sz w:val="24"/>
          <w:szCs w:val="24"/>
          <w:lang w:eastAsia="ru-RU"/>
        </w:rPr>
        <w:t xml:space="preserve">9 859 </w:t>
      </w:r>
      <w:r w:rsidRPr="00906EA7">
        <w:rPr>
          <w:rFonts w:ascii="Times New Roman" w:hAnsi="Times New Roman" w:cs="Times New Roman"/>
          <w:sz w:val="24"/>
          <w:szCs w:val="24"/>
        </w:rPr>
        <w:t xml:space="preserve">детей и подростков в возрасте до 18 лет (2018 год – </w:t>
      </w:r>
      <w:r w:rsidRPr="00906EA7">
        <w:rPr>
          <w:rFonts w:ascii="Times New Roman" w:eastAsia="Times New Roman" w:hAnsi="Times New Roman" w:cs="Times New Roman"/>
          <w:sz w:val="24"/>
          <w:szCs w:val="24"/>
          <w:lang w:eastAsia="ru-RU"/>
        </w:rPr>
        <w:t xml:space="preserve">9 544 </w:t>
      </w:r>
      <w:r w:rsidRPr="00906EA7">
        <w:rPr>
          <w:rFonts w:ascii="Times New Roman" w:hAnsi="Times New Roman" w:cs="Times New Roman"/>
          <w:sz w:val="24"/>
          <w:szCs w:val="24"/>
        </w:rPr>
        <w:t xml:space="preserve">чел.). </w:t>
      </w: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r w:rsidRPr="00906EA7">
        <w:rPr>
          <w:rFonts w:ascii="Times New Roman" w:hAnsi="Times New Roman" w:cs="Times New Roman"/>
          <w:sz w:val="24"/>
          <w:szCs w:val="24"/>
        </w:rPr>
        <w:t>Показатели по проведенным мероприятиям за 201</w:t>
      </w:r>
      <w:r w:rsidR="004F0885" w:rsidRPr="00906EA7">
        <w:rPr>
          <w:rFonts w:ascii="Times New Roman" w:hAnsi="Times New Roman" w:cs="Times New Roman"/>
          <w:sz w:val="24"/>
          <w:szCs w:val="24"/>
        </w:rPr>
        <w:t>7</w:t>
      </w:r>
      <w:r w:rsidRPr="00906EA7">
        <w:rPr>
          <w:rFonts w:ascii="Times New Roman" w:hAnsi="Times New Roman" w:cs="Times New Roman"/>
          <w:sz w:val="24"/>
          <w:szCs w:val="24"/>
        </w:rPr>
        <w:t>-201</w:t>
      </w:r>
      <w:r w:rsidR="004F0885"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widowControl w:val="0"/>
        <w:spacing w:after="0" w:line="240" w:lineRule="auto"/>
        <w:ind w:firstLine="709"/>
        <w:jc w:val="right"/>
        <w:rPr>
          <w:rFonts w:ascii="Times New Roman" w:hAnsi="Times New Roman" w:cs="Times New Roman"/>
          <w:sz w:val="24"/>
          <w:szCs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4"/>
        <w:gridCol w:w="1416"/>
        <w:gridCol w:w="1416"/>
        <w:gridCol w:w="1417"/>
        <w:gridCol w:w="1537"/>
      </w:tblGrid>
      <w:tr w:rsidR="004F0885" w:rsidRPr="00906EA7" w:rsidTr="00A37066">
        <w:trPr>
          <w:trHeight w:val="57"/>
          <w:tblHeader/>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2017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 год</w:t>
            </w:r>
          </w:p>
        </w:tc>
        <w:tc>
          <w:tcPr>
            <w:tcW w:w="153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w:t>
            </w:r>
          </w:p>
          <w:p w:rsidR="004F0885" w:rsidRPr="00906EA7" w:rsidRDefault="00020238"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w:t>
            </w:r>
            <w:r w:rsidR="004F0885" w:rsidRPr="00906EA7">
              <w:rPr>
                <w:rFonts w:ascii="Times New Roman" w:hAnsi="Times New Roman" w:cs="Times New Roman"/>
                <w:sz w:val="20"/>
                <w:szCs w:val="20"/>
              </w:rPr>
              <w:t>2018</w:t>
            </w:r>
          </w:p>
        </w:tc>
      </w:tr>
      <w:tr w:rsidR="004F0885" w:rsidRPr="00906EA7" w:rsidTr="004F0885">
        <w:trPr>
          <w:trHeight w:val="227"/>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Муниципальные мероприятия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171</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188</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192</w:t>
            </w:r>
          </w:p>
        </w:tc>
        <w:tc>
          <w:tcPr>
            <w:tcW w:w="153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102,12</w:t>
            </w:r>
          </w:p>
        </w:tc>
      </w:tr>
      <w:tr w:rsidR="004F0885" w:rsidRPr="00906EA7" w:rsidTr="001875D3">
        <w:trPr>
          <w:trHeight w:val="157"/>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них приняло участие, человек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10655</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12573</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13165</w:t>
            </w:r>
          </w:p>
        </w:tc>
        <w:tc>
          <w:tcPr>
            <w:tcW w:w="153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104,70</w:t>
            </w:r>
          </w:p>
        </w:tc>
      </w:tr>
      <w:tr w:rsidR="004F0885" w:rsidRPr="00906EA7" w:rsidTr="004F0885">
        <w:trPr>
          <w:trHeight w:val="665"/>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участников до 18 лет, человек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7660</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9544</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9859</w:t>
            </w:r>
          </w:p>
        </w:tc>
        <w:tc>
          <w:tcPr>
            <w:tcW w:w="153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103,30</w:t>
            </w:r>
          </w:p>
        </w:tc>
      </w:tr>
      <w:tr w:rsidR="004F0885" w:rsidRPr="00906EA7" w:rsidTr="004F0885">
        <w:trPr>
          <w:trHeight w:val="547"/>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участников старше 18 лет, человек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2995</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3029</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3306</w:t>
            </w:r>
          </w:p>
        </w:tc>
        <w:tc>
          <w:tcPr>
            <w:tcW w:w="153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109,14</w:t>
            </w:r>
          </w:p>
        </w:tc>
      </w:tr>
    </w:tbl>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w:t>
      </w:r>
      <w:r w:rsidR="004F0885"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спортсмены городского округа приняли участие в выездных соревнованиях межмуниципального, </w:t>
      </w:r>
      <w:r w:rsidR="004F0885" w:rsidRPr="00906EA7">
        <w:rPr>
          <w:rFonts w:ascii="Times New Roman" w:eastAsia="Times New Roman" w:hAnsi="Times New Roman" w:cs="Times New Roman"/>
          <w:sz w:val="24"/>
          <w:szCs w:val="24"/>
          <w:lang w:eastAsia="ru-RU"/>
        </w:rPr>
        <w:t>окружного</w:t>
      </w:r>
      <w:r w:rsidRPr="00906EA7">
        <w:rPr>
          <w:rFonts w:ascii="Times New Roman" w:eastAsia="Times New Roman" w:hAnsi="Times New Roman" w:cs="Times New Roman"/>
          <w:sz w:val="24"/>
          <w:szCs w:val="24"/>
          <w:lang w:eastAsia="ru-RU"/>
        </w:rPr>
        <w:t>, всероссийского и международного уровней.</w:t>
      </w:r>
    </w:p>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418"/>
        <w:gridCol w:w="1417"/>
        <w:gridCol w:w="1556"/>
      </w:tblGrid>
      <w:tr w:rsidR="004F0885" w:rsidRPr="00906EA7" w:rsidTr="004F0885">
        <w:trPr>
          <w:trHeight w:val="552"/>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55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 </w:t>
            </w:r>
          </w:p>
          <w:p w:rsidR="004F0885" w:rsidRPr="00906EA7" w:rsidRDefault="00020238"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w:t>
            </w:r>
            <w:r w:rsidR="004F0885" w:rsidRPr="00906EA7">
              <w:rPr>
                <w:rFonts w:ascii="Times New Roman" w:hAnsi="Times New Roman" w:cs="Times New Roman"/>
                <w:sz w:val="20"/>
                <w:szCs w:val="20"/>
              </w:rPr>
              <w:t>2018</w:t>
            </w:r>
          </w:p>
        </w:tc>
      </w:tr>
      <w:tr w:rsidR="004F0885" w:rsidRPr="00906EA7" w:rsidTr="004F0885">
        <w:trPr>
          <w:trHeight w:val="242"/>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Участие в выездных мероприятиях, единиц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266</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227</w:t>
            </w:r>
          </w:p>
        </w:tc>
        <w:tc>
          <w:tcPr>
            <w:tcW w:w="1556"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85,3</w:t>
            </w:r>
          </w:p>
        </w:tc>
      </w:tr>
      <w:tr w:rsidR="004F0885" w:rsidRPr="00906EA7" w:rsidTr="007D47D1">
        <w:trPr>
          <w:trHeight w:val="109"/>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них приняло участие, 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3287</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2845</w:t>
            </w:r>
          </w:p>
        </w:tc>
        <w:tc>
          <w:tcPr>
            <w:tcW w:w="1556"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86,6</w:t>
            </w:r>
          </w:p>
        </w:tc>
      </w:tr>
      <w:tr w:rsidR="004F0885" w:rsidRPr="00906EA7" w:rsidTr="004F0885">
        <w:trPr>
          <w:trHeight w:val="417"/>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Число участников до 18 лет, 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2955</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2567</w:t>
            </w:r>
          </w:p>
        </w:tc>
        <w:tc>
          <w:tcPr>
            <w:tcW w:w="1556"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86,9</w:t>
            </w:r>
          </w:p>
        </w:tc>
      </w:tr>
      <w:tr w:rsidR="004F0885" w:rsidRPr="00906EA7" w:rsidTr="004F0885">
        <w:trPr>
          <w:trHeight w:val="659"/>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Число участников старше 18 лет, 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332</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278</w:t>
            </w:r>
          </w:p>
        </w:tc>
        <w:tc>
          <w:tcPr>
            <w:tcW w:w="1556"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83,7</w:t>
            </w:r>
          </w:p>
        </w:tc>
      </w:tr>
    </w:tbl>
    <w:p w:rsidR="00B45D6E" w:rsidRPr="00906EA7" w:rsidRDefault="00B45D6E" w:rsidP="0097253F">
      <w:pPr>
        <w:pStyle w:val="ae"/>
        <w:spacing w:before="0" w:beforeAutospacing="0" w:after="0" w:afterAutospacing="0"/>
        <w:ind w:firstLine="709"/>
        <w:jc w:val="both"/>
        <w:rPr>
          <w:rFonts w:eastAsia="Calibri"/>
        </w:rPr>
      </w:pPr>
    </w:p>
    <w:p w:rsidR="004F0885" w:rsidRPr="00906EA7" w:rsidRDefault="004F088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соревнованиях завоеваны 1 152 медалей, из них: 471 – золотых, 411 – серебряных </w:t>
      </w:r>
      <w:r w:rsidRPr="00906EA7">
        <w:rPr>
          <w:rFonts w:ascii="Times New Roman" w:eastAsia="Times New Roman" w:hAnsi="Times New Roman" w:cs="Times New Roman"/>
          <w:sz w:val="24"/>
          <w:szCs w:val="24"/>
          <w:lang w:eastAsia="ru-RU"/>
        </w:rPr>
        <w:lastRenderedPageBreak/>
        <w:t>и 270 – бронзовых. Из общего числа наград завоеваны: 14 – на международных соревнованиях, 70 – на всероссийских соревнованиях, 399 – на соревнованиях регионального уровня, 669 – на соревнованиях межмуниципального уровня.</w:t>
      </w:r>
    </w:p>
    <w:p w:rsidR="00B45D6E" w:rsidRPr="00906EA7" w:rsidRDefault="00B45D6E" w:rsidP="0097253F">
      <w:pPr>
        <w:widowControl w:val="0"/>
        <w:spacing w:after="0" w:line="240" w:lineRule="auto"/>
        <w:ind w:firstLine="709"/>
        <w:jc w:val="center"/>
        <w:rPr>
          <w:rFonts w:ascii="Times New Roman" w:hAnsi="Times New Roman" w:cs="Times New Roman"/>
          <w:sz w:val="24"/>
          <w:szCs w:val="24"/>
        </w:rPr>
      </w:pPr>
    </w:p>
    <w:p w:rsidR="00651B1B" w:rsidRDefault="00651B1B" w:rsidP="0097253F">
      <w:pPr>
        <w:widowControl w:val="0"/>
        <w:spacing w:after="0" w:line="240" w:lineRule="auto"/>
        <w:ind w:firstLine="709"/>
        <w:jc w:val="center"/>
        <w:rPr>
          <w:rFonts w:ascii="Times New Roman" w:hAnsi="Times New Roman" w:cs="Times New Roman"/>
          <w:sz w:val="24"/>
          <w:szCs w:val="24"/>
        </w:rPr>
      </w:pPr>
    </w:p>
    <w:p w:rsidR="00651B1B" w:rsidRDefault="00651B1B" w:rsidP="0097253F">
      <w:pPr>
        <w:widowControl w:val="0"/>
        <w:spacing w:after="0" w:line="240" w:lineRule="auto"/>
        <w:ind w:firstLine="709"/>
        <w:jc w:val="center"/>
        <w:rPr>
          <w:rFonts w:ascii="Times New Roman" w:hAnsi="Times New Roman" w:cs="Times New Roman"/>
          <w:sz w:val="24"/>
          <w:szCs w:val="24"/>
        </w:rPr>
      </w:pP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r w:rsidRPr="00906EA7">
        <w:rPr>
          <w:rFonts w:ascii="Times New Roman" w:hAnsi="Times New Roman" w:cs="Times New Roman"/>
          <w:sz w:val="24"/>
          <w:szCs w:val="24"/>
        </w:rPr>
        <w:t>Динамика показателей спортивных достижений за 201</w:t>
      </w:r>
      <w:r w:rsidR="004F0885" w:rsidRPr="00906EA7">
        <w:rPr>
          <w:rFonts w:ascii="Times New Roman" w:hAnsi="Times New Roman" w:cs="Times New Roman"/>
          <w:sz w:val="24"/>
          <w:szCs w:val="24"/>
        </w:rPr>
        <w:t>7</w:t>
      </w:r>
      <w:r w:rsidRPr="00906EA7">
        <w:rPr>
          <w:rFonts w:ascii="Times New Roman" w:hAnsi="Times New Roman" w:cs="Times New Roman"/>
          <w:sz w:val="24"/>
          <w:szCs w:val="24"/>
        </w:rPr>
        <w:t>-201</w:t>
      </w:r>
      <w:r w:rsidR="004F0885"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59"/>
        <w:gridCol w:w="1470"/>
        <w:gridCol w:w="1468"/>
        <w:gridCol w:w="1766"/>
      </w:tblGrid>
      <w:tr w:rsidR="004F0885" w:rsidRPr="00906EA7" w:rsidTr="003A099E">
        <w:trPr>
          <w:trHeight w:val="120"/>
          <w:tblHeader/>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Медали</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759"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913"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w:t>
            </w:r>
          </w:p>
          <w:p w:rsidR="004F0885" w:rsidRPr="00906EA7" w:rsidRDefault="00020238"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w:t>
            </w:r>
            <w:r w:rsidR="004F0885" w:rsidRPr="00906EA7">
              <w:rPr>
                <w:rFonts w:ascii="Times New Roman" w:hAnsi="Times New Roman" w:cs="Times New Roman"/>
                <w:sz w:val="20"/>
                <w:szCs w:val="20"/>
              </w:rPr>
              <w:t>2018</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Золото</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288</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476</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471</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98,9</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Серебро</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276</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345</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411</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119,1</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Бронза</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231</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229</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270</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117,9</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Итого</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795</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1050</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1152</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109,7</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том числе:</w:t>
            </w:r>
          </w:p>
        </w:tc>
        <w:tc>
          <w:tcPr>
            <w:tcW w:w="754"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p>
        </w:tc>
        <w:tc>
          <w:tcPr>
            <w:tcW w:w="760"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Международные</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14</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127,3</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Всероссийские</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43</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70</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70</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100,0</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Региональные</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369</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755</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399</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52,8</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Межмуниципальные</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367</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214</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669</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3,1 раза</w:t>
            </w:r>
          </w:p>
        </w:tc>
      </w:tr>
    </w:tbl>
    <w:p w:rsidR="003A099E" w:rsidRPr="00906EA7" w:rsidRDefault="003A099E" w:rsidP="0097253F">
      <w:pPr>
        <w:pStyle w:val="ae"/>
        <w:spacing w:before="0" w:beforeAutospacing="0" w:after="0" w:afterAutospacing="0"/>
        <w:ind w:firstLine="709"/>
        <w:jc w:val="both"/>
        <w:rPr>
          <w:rFonts w:eastAsia="Calibri"/>
        </w:rPr>
      </w:pPr>
    </w:p>
    <w:p w:rsidR="00A37066" w:rsidRPr="00906EA7" w:rsidRDefault="00A37066" w:rsidP="0097253F">
      <w:pPr>
        <w:pStyle w:val="ae"/>
        <w:spacing w:before="0" w:beforeAutospacing="0" w:after="0" w:afterAutospacing="0"/>
        <w:ind w:firstLine="709"/>
        <w:jc w:val="both"/>
        <w:rPr>
          <w:rFonts w:eastAsia="Calibri"/>
        </w:rPr>
      </w:pPr>
      <w:r w:rsidRPr="00906EA7">
        <w:rPr>
          <w:rFonts w:eastAsia="Calibri"/>
        </w:rPr>
        <w:t xml:space="preserve">На </w:t>
      </w:r>
      <w:r w:rsidR="008E6AE4" w:rsidRPr="00906EA7">
        <w:rPr>
          <w:rFonts w:eastAsia="Calibri"/>
        </w:rPr>
        <w:t>27,3</w:t>
      </w:r>
      <w:r w:rsidRPr="00906EA7">
        <w:rPr>
          <w:rFonts w:eastAsia="Calibri"/>
        </w:rPr>
        <w:t xml:space="preserve">% выросло число наград, завоеванных на соревнованиях </w:t>
      </w:r>
      <w:r w:rsidR="008E6AE4" w:rsidRPr="00906EA7">
        <w:rPr>
          <w:rFonts w:eastAsia="Calibri"/>
        </w:rPr>
        <w:t xml:space="preserve">международного </w:t>
      </w:r>
      <w:r w:rsidRPr="00906EA7">
        <w:rPr>
          <w:rFonts w:eastAsia="Calibri"/>
        </w:rPr>
        <w:t xml:space="preserve">уровня, в </w:t>
      </w:r>
      <w:r w:rsidR="008E6AE4" w:rsidRPr="00906EA7">
        <w:rPr>
          <w:rFonts w:eastAsia="Calibri"/>
        </w:rPr>
        <w:t>3</w:t>
      </w:r>
      <w:r w:rsidRPr="00906EA7">
        <w:rPr>
          <w:rFonts w:eastAsia="Calibri"/>
        </w:rPr>
        <w:t xml:space="preserve">,1 раза </w:t>
      </w:r>
      <w:r w:rsidR="008E6AE4" w:rsidRPr="00906EA7">
        <w:rPr>
          <w:rFonts w:eastAsia="Calibri"/>
        </w:rPr>
        <w:t>межмуниципального</w:t>
      </w:r>
      <w:r w:rsidRPr="00906EA7">
        <w:rPr>
          <w:rFonts w:eastAsia="Calibri"/>
        </w:rPr>
        <w:t xml:space="preserve"> уровня. </w:t>
      </w:r>
    </w:p>
    <w:p w:rsidR="00A37066" w:rsidRPr="00906EA7" w:rsidRDefault="00A37066" w:rsidP="0097253F">
      <w:pPr>
        <w:pStyle w:val="ae"/>
        <w:spacing w:before="0" w:beforeAutospacing="0" w:after="0" w:afterAutospacing="0"/>
        <w:ind w:firstLine="709"/>
        <w:jc w:val="both"/>
        <w:rPr>
          <w:rFonts w:eastAsia="Calibri"/>
        </w:rPr>
      </w:pPr>
      <w:r w:rsidRPr="00906EA7">
        <w:rPr>
          <w:rFonts w:eastAsia="Calibri"/>
        </w:rPr>
        <w:t xml:space="preserve">При этом сократилось число наград, завоеванных на соревнованиях </w:t>
      </w:r>
      <w:r w:rsidR="008E6AE4" w:rsidRPr="00906EA7">
        <w:rPr>
          <w:rFonts w:eastAsia="Calibri"/>
        </w:rPr>
        <w:t>регионального уровня</w:t>
      </w:r>
      <w:r w:rsidR="00F06C3F" w:rsidRPr="00906EA7">
        <w:rPr>
          <w:rFonts w:eastAsia="Calibri"/>
        </w:rPr>
        <w:t xml:space="preserve">, </w:t>
      </w:r>
      <w:r w:rsidR="008E6AE4" w:rsidRPr="00906EA7">
        <w:rPr>
          <w:rFonts w:eastAsia="Calibri"/>
        </w:rPr>
        <w:t>на 47,2%.</w:t>
      </w:r>
    </w:p>
    <w:p w:rsidR="00F06C3F" w:rsidRPr="00906EA7" w:rsidRDefault="00F06C3F" w:rsidP="0097253F">
      <w:pPr>
        <w:pStyle w:val="ae"/>
        <w:spacing w:before="0" w:beforeAutospacing="0" w:after="0" w:afterAutospacing="0"/>
        <w:ind w:firstLine="709"/>
        <w:jc w:val="both"/>
        <w:rPr>
          <w:rFonts w:eastAsia="Calibri"/>
        </w:rPr>
      </w:pPr>
      <w:r w:rsidRPr="00906EA7">
        <w:rPr>
          <w:rFonts w:eastAsia="Calibri"/>
        </w:rPr>
        <w:t>Наибольшего количества наград удостоены спортсмены следующих видов спорта: армрестлинг, адаптивный спорт, бокс, гиревой спорт, дзюдо, каратэ, прыжки на батуте и двойном мини-трампе, спортивная акробатика, пауэрлифтинг, полиатлон, плавание, самбо, рукопашный бой, фигурное катание, художественная гимнастика, хоккей.</w:t>
      </w:r>
    </w:p>
    <w:p w:rsidR="00F06C3F" w:rsidRPr="00906EA7" w:rsidRDefault="00F06C3F" w:rsidP="0097253F">
      <w:pPr>
        <w:pStyle w:val="ae"/>
        <w:spacing w:before="0" w:beforeAutospacing="0" w:after="0" w:afterAutospacing="0"/>
        <w:ind w:firstLine="709"/>
        <w:jc w:val="both"/>
        <w:rPr>
          <w:rFonts w:eastAsia="Calibri"/>
        </w:rPr>
      </w:pPr>
      <w:r w:rsidRPr="00906EA7">
        <w:rPr>
          <w:rFonts w:eastAsia="Calibri"/>
        </w:rPr>
        <w:t>В течение 2019 года подготовлены 531 спортсменов массовых разрядов (2018 год –               1 008).</w:t>
      </w:r>
    </w:p>
    <w:p w:rsidR="00A37066" w:rsidRPr="00906EA7" w:rsidRDefault="00A37066" w:rsidP="0097253F">
      <w:pPr>
        <w:widowControl w:val="0"/>
        <w:spacing w:after="0" w:line="240" w:lineRule="auto"/>
        <w:ind w:firstLine="709"/>
        <w:jc w:val="right"/>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человек</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1488"/>
        <w:gridCol w:w="1488"/>
        <w:gridCol w:w="1488"/>
        <w:gridCol w:w="1489"/>
      </w:tblGrid>
      <w:tr w:rsidR="00F212BB" w:rsidRPr="00906EA7" w:rsidTr="00A37066">
        <w:trPr>
          <w:trHeight w:val="634"/>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hAnsi="Times New Roman" w:cs="Times New Roman"/>
                <w:sz w:val="20"/>
                <w:szCs w:val="20"/>
              </w:rPr>
            </w:pPr>
            <w:r w:rsidRPr="00906EA7">
              <w:rPr>
                <w:rFonts w:ascii="Times New Roman" w:eastAsia="Times New Roman" w:hAnsi="Times New Roman" w:cs="Times New Roman"/>
                <w:sz w:val="20"/>
                <w:szCs w:val="20"/>
                <w:lang w:eastAsia="ru-RU"/>
              </w:rPr>
              <w:t>2017 год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w:t>
            </w:r>
          </w:p>
        </w:tc>
        <w:tc>
          <w:tcPr>
            <w:tcW w:w="1489"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w:t>
            </w:r>
          </w:p>
          <w:p w:rsidR="00F212BB" w:rsidRPr="00906EA7" w:rsidRDefault="00EA74BF" w:rsidP="00EA74B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w:t>
            </w:r>
            <w:r w:rsidR="00F212BB" w:rsidRPr="00906EA7">
              <w:rPr>
                <w:rFonts w:ascii="Times New Roman" w:hAnsi="Times New Roman" w:cs="Times New Roman"/>
                <w:sz w:val="20"/>
                <w:szCs w:val="20"/>
              </w:rPr>
              <w:t>2018</w:t>
            </w:r>
          </w:p>
        </w:tc>
      </w:tr>
      <w:tr w:rsidR="00F212BB" w:rsidRPr="00906EA7" w:rsidTr="00F212BB">
        <w:trPr>
          <w:trHeight w:val="669"/>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Подготовленные спортсмены массовых разрядов</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829</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1008</w:t>
            </w:r>
          </w:p>
        </w:tc>
        <w:tc>
          <w:tcPr>
            <w:tcW w:w="1488"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531</w:t>
            </w:r>
          </w:p>
        </w:tc>
        <w:tc>
          <w:tcPr>
            <w:tcW w:w="1489"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52,7</w:t>
            </w:r>
          </w:p>
        </w:tc>
      </w:tr>
      <w:tr w:rsidR="00F212BB" w:rsidRPr="00906EA7" w:rsidTr="00F212BB">
        <w:trPr>
          <w:trHeight w:val="345"/>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val="en-US" w:eastAsia="ru-RU"/>
              </w:rPr>
              <w:t>I</w:t>
            </w:r>
            <w:r w:rsidRPr="00906EA7">
              <w:rPr>
                <w:rFonts w:ascii="Times New Roman" w:eastAsia="Times New Roman" w:hAnsi="Times New Roman" w:cs="Times New Roman"/>
                <w:sz w:val="24"/>
                <w:szCs w:val="24"/>
                <w:lang w:eastAsia="ru-RU"/>
              </w:rPr>
              <w:t xml:space="preserve"> разряд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35</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w:t>
            </w:r>
          </w:p>
        </w:tc>
        <w:tc>
          <w:tcPr>
            <w:tcW w:w="1488"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41</w:t>
            </w:r>
          </w:p>
        </w:tc>
        <w:tc>
          <w:tcPr>
            <w:tcW w:w="1489"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77,4</w:t>
            </w:r>
          </w:p>
        </w:tc>
      </w:tr>
      <w:tr w:rsidR="00F212BB" w:rsidRPr="00906EA7" w:rsidTr="00F212BB">
        <w:trPr>
          <w:trHeight w:val="324"/>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Кандидаты в мастера спорта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74</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45</w:t>
            </w:r>
          </w:p>
        </w:tc>
        <w:tc>
          <w:tcPr>
            <w:tcW w:w="1488"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40</w:t>
            </w:r>
          </w:p>
        </w:tc>
        <w:tc>
          <w:tcPr>
            <w:tcW w:w="1489"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88,9</w:t>
            </w:r>
          </w:p>
        </w:tc>
      </w:tr>
      <w:tr w:rsidR="00F212BB" w:rsidRPr="00906EA7" w:rsidTr="00F212BB">
        <w:trPr>
          <w:trHeight w:val="345"/>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Мастер спорта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w:t>
            </w:r>
          </w:p>
        </w:tc>
        <w:tc>
          <w:tcPr>
            <w:tcW w:w="1489"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10 раз</w:t>
            </w:r>
          </w:p>
        </w:tc>
      </w:tr>
    </w:tbl>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Работа по организации физкультурно-оздоровительных и спортивных мероприятий с инвалидами осуществлялась на базе муниципального автономного учреждения дополнительного образования «Детско-юношеская спортивная школа «Вымпел».</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ведется в физкультурно-оздоровительном комплексе «Геолог» и спортивном комплекса «Дельфин». В группах адаптивной физической культуры и спорта занимаются 48 чел., (2018 году – 66 чел.). Уменьшение связано с медицинскими противопоказаниями и трудоустройством занимающихся. </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Работу с инвалидами осуществляют два штатных тренера-преподавателя и один инструктор-методист. В рамках мероприятий по реабилитации (абилитации) проводятся </w:t>
      </w:r>
      <w:r w:rsidRPr="00906EA7">
        <w:rPr>
          <w:rFonts w:ascii="Times New Roman" w:hAnsi="Times New Roman" w:cs="Times New Roman"/>
          <w:sz w:val="24"/>
          <w:szCs w:val="24"/>
        </w:rPr>
        <w:lastRenderedPageBreak/>
        <w:t>занятия в спортивно-оздоровительных группах по легкой атлетике, пауэрлифтингу, плаванию, настольному теннису, бочче.</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соответствии с календарным планом для инвалидов были организованы 5 спортивно-массовых мероприятий (2018 год - 3).</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За 2019 год подготовлены 18 спортсменов-инвалидов массовых разрядов (2018 год – 54). Выполнили разрядные нормы, нормативные требования:</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lang w:val="en-US"/>
        </w:rPr>
        <w:t>I</w:t>
      </w:r>
      <w:r w:rsidRPr="00906EA7">
        <w:rPr>
          <w:rFonts w:ascii="Times New Roman" w:hAnsi="Times New Roman" w:cs="Times New Roman"/>
          <w:sz w:val="24"/>
          <w:szCs w:val="24"/>
        </w:rPr>
        <w:t xml:space="preserve"> разряд – 1 чел. (2018 год – 1 чел.);</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КМС – 0 чел. (2018 год – 1 чел.).</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2019 году в соответствии с запросом населения на базе муниципального автономного учреждения «Детско-юношеская спортивная школа «Вымпел» открыто отделение вольной борьбы, на котором занимаются 37 человек.</w:t>
      </w:r>
    </w:p>
    <w:p w:rsidR="00755EE0" w:rsidRPr="00906EA7" w:rsidRDefault="00755EE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Активно проводится работа, направленная на участие социально-ориентированных некоммерческих организаций в разработке социальных проектов для участия в конкурсах на получение грантов. По результатам 2019 года автономной некоммерческой организацией «Боксерский клуб «9 Легион» получен президентский грант на реализацию социального проекта «Ты сильный» в сумме 2 417,0 тыс. руб.</w:t>
      </w:r>
    </w:p>
    <w:p w:rsidR="00755EE0" w:rsidRPr="00906EA7" w:rsidRDefault="00755EE0" w:rsidP="0097253F">
      <w:pPr>
        <w:widowControl w:val="0"/>
        <w:spacing w:after="0" w:line="240" w:lineRule="auto"/>
        <w:ind w:firstLine="709"/>
        <w:jc w:val="both"/>
        <w:rPr>
          <w:rFonts w:ascii="Times New Roman" w:hAnsi="Times New Roman"/>
          <w:sz w:val="24"/>
          <w:szCs w:val="24"/>
        </w:rPr>
      </w:pPr>
      <w:r w:rsidRPr="00906EA7">
        <w:rPr>
          <w:rFonts w:ascii="Times New Roman" w:hAnsi="Times New Roman" w:cs="Times New Roman"/>
          <w:sz w:val="24"/>
        </w:rPr>
        <w:t xml:space="preserve">На исполнение негосударственным (немуниципальным) организациям, в том числе СОНКО передана 1 услуга (работа). </w:t>
      </w:r>
      <w:r w:rsidRPr="00906EA7">
        <w:rPr>
          <w:rFonts w:ascii="Times New Roman" w:hAnsi="Times New Roman"/>
          <w:sz w:val="24"/>
          <w:szCs w:val="24"/>
        </w:rPr>
        <w:t>Объем грантов в форме субсидий, предоставленных из бюджета муниципального образования социально ориентированным некоммерческим организациям на реализацию социально значимых программ и проектов, на 2019 год составил 355,6 тыс. руб. За отчетный период наблюдается динамика роста объема грантов по сравнению с аналогичным периодом 2018 года (115,6 тыс. руб.) на 32,5%. По результатам проведенных открытых конкурсов и в рамках переданных средств в 2019 году проведены такие мероприятия, как: «Спортивная элита – 2018», «Фестиваль спорта, посвященный Дню физкультурника», «Кросс нации – 2019». В проводимых мероприятиях приняли участие 1 632 человека (2018 год – 1 248 человек).</w:t>
      </w:r>
    </w:p>
    <w:p w:rsidR="00755EE0" w:rsidRPr="00906EA7" w:rsidRDefault="00755EE0" w:rsidP="0097253F">
      <w:pPr>
        <w:widowControl w:val="0"/>
        <w:autoSpaceDE w:val="0"/>
        <w:autoSpaceDN w:val="0"/>
        <w:spacing w:after="0" w:line="240" w:lineRule="auto"/>
        <w:ind w:firstLine="708"/>
        <w:jc w:val="both"/>
        <w:rPr>
          <w:rFonts w:ascii="Times New Roman" w:hAnsi="Times New Roman" w:cs="Times New Roman"/>
          <w:sz w:val="24"/>
          <w:szCs w:val="24"/>
        </w:rPr>
      </w:pPr>
      <w:r w:rsidRPr="00906EA7">
        <w:rPr>
          <w:rFonts w:ascii="Times New Roman" w:eastAsia="Times New Roman" w:hAnsi="Times New Roman" w:cs="Times New Roman"/>
          <w:sz w:val="24"/>
          <w:szCs w:val="20"/>
          <w:lang w:eastAsia="ru-RU"/>
        </w:rPr>
        <w:t xml:space="preserve">Проведена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В 2019 году в аренду </w:t>
      </w:r>
      <w:r w:rsidRPr="00906EA7">
        <w:rPr>
          <w:rFonts w:ascii="Times New Roman" w:eastAsia="Times New Roman" w:hAnsi="Times New Roman" w:cs="Times New Roman"/>
          <w:sz w:val="24"/>
          <w:szCs w:val="24"/>
          <w:lang w:eastAsia="ru-RU"/>
        </w:rPr>
        <w:t xml:space="preserve">предоставлены площади для проведения занятий по спорту и физической культуре ООО «Пантеон», ИП Андронаки В.И., </w:t>
      </w:r>
      <w:r w:rsidRPr="00906EA7">
        <w:rPr>
          <w:rFonts w:ascii="Times New Roman" w:hAnsi="Times New Roman" w:cs="Times New Roman"/>
          <w:sz w:val="24"/>
          <w:szCs w:val="24"/>
        </w:rPr>
        <w:t xml:space="preserve">ИП Мушников В.Л., АНО «Академия хоккея Ханты-Мансийского автономного округа – Югры» </w:t>
      </w:r>
      <w:r w:rsidRPr="00906EA7">
        <w:rPr>
          <w:rFonts w:ascii="Times New Roman" w:eastAsia="Times New Roman" w:hAnsi="Times New Roman" w:cs="Times New Roman"/>
          <w:sz w:val="24"/>
          <w:szCs w:val="24"/>
          <w:lang w:eastAsia="ru-RU"/>
        </w:rPr>
        <w:t xml:space="preserve">и в рамках договора </w:t>
      </w:r>
      <w:r w:rsidRPr="00906EA7">
        <w:rPr>
          <w:rFonts w:ascii="Times New Roman" w:hAnsi="Times New Roman" w:cs="Times New Roman"/>
          <w:sz w:val="24"/>
          <w:szCs w:val="24"/>
        </w:rPr>
        <w:t>временного безвозмездного пользования муниципальным имуществом предоставлена площадь автономной некоммерческой организации содействия развитию молодежи</w:t>
      </w:r>
      <w:r w:rsidRPr="00906EA7">
        <w:rPr>
          <w:rFonts w:ascii="Times New Roman" w:hAnsi="Times New Roman" w:cs="Times New Roman"/>
          <w:sz w:val="20"/>
          <w:szCs w:val="20"/>
        </w:rPr>
        <w:t xml:space="preserve"> </w:t>
      </w:r>
      <w:r w:rsidRPr="00906EA7">
        <w:rPr>
          <w:rFonts w:ascii="Times New Roman" w:hAnsi="Times New Roman" w:cs="Times New Roman"/>
          <w:sz w:val="24"/>
          <w:szCs w:val="24"/>
        </w:rPr>
        <w:t>«До 16 и старше».</w:t>
      </w:r>
    </w:p>
    <w:p w:rsidR="00755EE0" w:rsidRPr="00906EA7" w:rsidRDefault="00755EE0" w:rsidP="0097253F">
      <w:pPr>
        <w:widowControl w:val="0"/>
        <w:autoSpaceDE w:val="0"/>
        <w:autoSpaceDN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2019 году произошло увеличение частных и общественных организаций, осуществляющих деятельность в сфере физической культуры и спорта, их число составляет 18 единиц (2018 год – 15 единиц). </w:t>
      </w:r>
    </w:p>
    <w:p w:rsidR="00755EE0" w:rsidRPr="00906EA7" w:rsidRDefault="00755EE0" w:rsidP="0097253F">
      <w:pPr>
        <w:spacing w:after="0" w:line="240" w:lineRule="auto"/>
        <w:ind w:firstLine="709"/>
        <w:jc w:val="both"/>
        <w:rPr>
          <w:rFonts w:ascii="Times New Roman" w:eastAsia="Calibri" w:hAnsi="Times New Roman" w:cs="Times New Roman"/>
          <w:sz w:val="24"/>
          <w:szCs w:val="24"/>
        </w:rPr>
      </w:pPr>
      <w:r w:rsidRPr="00906EA7">
        <w:rPr>
          <w:rFonts w:ascii="Times New Roman" w:hAnsi="Times New Roman" w:cs="Times New Roman"/>
          <w:sz w:val="24"/>
          <w:szCs w:val="24"/>
          <w:lang w:eastAsia="x-none"/>
        </w:rPr>
        <w:t>Приоритетными задачами в 2020 году являются увеличение негосударственных организаций, оказывающи</w:t>
      </w:r>
      <w:r w:rsidR="00EA74BF" w:rsidRPr="00906EA7">
        <w:rPr>
          <w:rFonts w:ascii="Times New Roman" w:hAnsi="Times New Roman" w:cs="Times New Roman"/>
          <w:sz w:val="24"/>
          <w:szCs w:val="24"/>
          <w:lang w:eastAsia="x-none"/>
        </w:rPr>
        <w:t>х</w:t>
      </w:r>
      <w:r w:rsidRPr="00906EA7">
        <w:rPr>
          <w:rFonts w:ascii="Times New Roman" w:hAnsi="Times New Roman" w:cs="Times New Roman"/>
          <w:sz w:val="24"/>
          <w:szCs w:val="24"/>
          <w:lang w:eastAsia="x-none"/>
        </w:rPr>
        <w:t xml:space="preserve"> услуги в сфере физической культуры и спорта, а так же создание условий для осуществления строительства спортивных объектов.</w:t>
      </w:r>
    </w:p>
    <w:sectPr w:rsidR="00755EE0" w:rsidRPr="00906EA7" w:rsidSect="006C207F">
      <w:headerReference w:type="default" r:id="rId10"/>
      <w:footerReference w:type="default" r:id="rId11"/>
      <w:pgSz w:w="11906" w:h="16838"/>
      <w:pgMar w:top="1134" w:right="567"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71" w:rsidRDefault="00E02271" w:rsidP="003177CC">
      <w:pPr>
        <w:spacing w:after="0" w:line="240" w:lineRule="auto"/>
      </w:pPr>
      <w:r>
        <w:separator/>
      </w:r>
    </w:p>
  </w:endnote>
  <w:endnote w:type="continuationSeparator" w:id="0">
    <w:p w:rsidR="00E02271" w:rsidRDefault="00E02271" w:rsidP="0031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71" w:rsidRPr="0009408A" w:rsidRDefault="00E02271">
    <w:pPr>
      <w:pStyle w:val="a8"/>
      <w:jc w:val="right"/>
      <w:rPr>
        <w:color w:val="0070C0"/>
      </w:rPr>
    </w:pPr>
  </w:p>
  <w:p w:rsidR="00E02271" w:rsidRDefault="00E022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71" w:rsidRDefault="00E02271" w:rsidP="003177CC">
      <w:pPr>
        <w:spacing w:after="0" w:line="240" w:lineRule="auto"/>
      </w:pPr>
      <w:r>
        <w:separator/>
      </w:r>
    </w:p>
  </w:footnote>
  <w:footnote w:type="continuationSeparator" w:id="0">
    <w:p w:rsidR="00E02271" w:rsidRDefault="00E02271" w:rsidP="003177CC">
      <w:pPr>
        <w:spacing w:after="0" w:line="240" w:lineRule="auto"/>
      </w:pPr>
      <w:r>
        <w:continuationSeparator/>
      </w:r>
    </w:p>
  </w:footnote>
  <w:footnote w:id="1">
    <w:p w:rsidR="00E02271" w:rsidRPr="003B1543" w:rsidRDefault="00E02271">
      <w:pPr>
        <w:pStyle w:val="aff"/>
        <w:rPr>
          <w:rFonts w:ascii="Times New Roman" w:hAnsi="Times New Roman" w:cs="Times New Roman"/>
        </w:rPr>
      </w:pPr>
      <w:r w:rsidRPr="003B1543">
        <w:rPr>
          <w:rStyle w:val="aff1"/>
          <w:rFonts w:ascii="Times New Roman" w:hAnsi="Times New Roman" w:cs="Times New Roman"/>
        </w:rPr>
        <w:footnoteRef/>
      </w:r>
      <w:r w:rsidRPr="003B1543">
        <w:rPr>
          <w:rFonts w:ascii="Times New Roman" w:hAnsi="Times New Roman" w:cs="Times New Roman"/>
        </w:rPr>
        <w:t xml:space="preserve"> Показатели изменены на основании обновленных данных органов </w:t>
      </w:r>
      <w:r>
        <w:rPr>
          <w:rFonts w:ascii="Times New Roman" w:hAnsi="Times New Roman" w:cs="Times New Roman"/>
        </w:rPr>
        <w:t xml:space="preserve"> </w:t>
      </w:r>
      <w:r w:rsidR="00625FE7">
        <w:rPr>
          <w:rFonts w:ascii="Times New Roman" w:hAnsi="Times New Roman" w:cs="Times New Roman"/>
        </w:rPr>
        <w:t>Росстата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01399"/>
      <w:docPartObj>
        <w:docPartGallery w:val="Page Numbers (Top of Page)"/>
        <w:docPartUnique/>
      </w:docPartObj>
    </w:sdtPr>
    <w:sdtEndPr>
      <w:rPr>
        <w:rFonts w:ascii="Times New Roman" w:hAnsi="Times New Roman" w:cs="Times New Roman"/>
        <w:color w:val="000000" w:themeColor="text1"/>
        <w:sz w:val="20"/>
        <w:szCs w:val="20"/>
      </w:rPr>
    </w:sdtEndPr>
    <w:sdtContent>
      <w:p w:rsidR="00E02271" w:rsidRPr="005B5342" w:rsidRDefault="00E02271">
        <w:pPr>
          <w:pStyle w:val="a6"/>
          <w:jc w:val="center"/>
          <w:rPr>
            <w:rFonts w:ascii="Times New Roman" w:hAnsi="Times New Roman" w:cs="Times New Roman"/>
            <w:color w:val="000000" w:themeColor="text1"/>
            <w:sz w:val="20"/>
            <w:szCs w:val="20"/>
          </w:rPr>
        </w:pPr>
        <w:r w:rsidRPr="005B5342">
          <w:rPr>
            <w:rFonts w:ascii="Times New Roman" w:hAnsi="Times New Roman" w:cs="Times New Roman"/>
            <w:color w:val="000000" w:themeColor="text1"/>
            <w:sz w:val="20"/>
            <w:szCs w:val="20"/>
          </w:rPr>
          <w:fldChar w:fldCharType="begin"/>
        </w:r>
        <w:r w:rsidRPr="005B5342">
          <w:rPr>
            <w:rFonts w:ascii="Times New Roman" w:hAnsi="Times New Roman" w:cs="Times New Roman"/>
            <w:color w:val="000000" w:themeColor="text1"/>
            <w:sz w:val="20"/>
            <w:szCs w:val="20"/>
          </w:rPr>
          <w:instrText>PAGE   \* MERGEFORMAT</w:instrText>
        </w:r>
        <w:r w:rsidRPr="005B5342">
          <w:rPr>
            <w:rFonts w:ascii="Times New Roman" w:hAnsi="Times New Roman" w:cs="Times New Roman"/>
            <w:color w:val="000000" w:themeColor="text1"/>
            <w:sz w:val="20"/>
            <w:szCs w:val="20"/>
          </w:rPr>
          <w:fldChar w:fldCharType="separate"/>
        </w:r>
        <w:r w:rsidR="00112A99">
          <w:rPr>
            <w:rFonts w:ascii="Times New Roman" w:hAnsi="Times New Roman" w:cs="Times New Roman"/>
            <w:noProof/>
            <w:color w:val="000000" w:themeColor="text1"/>
            <w:sz w:val="20"/>
            <w:szCs w:val="20"/>
          </w:rPr>
          <w:t>14</w:t>
        </w:r>
        <w:r w:rsidRPr="005B5342">
          <w:rPr>
            <w:rFonts w:ascii="Times New Roman" w:hAnsi="Times New Roman" w:cs="Times New Roman"/>
            <w:color w:val="000000" w:themeColor="text1"/>
            <w:sz w:val="20"/>
            <w:szCs w:val="20"/>
          </w:rPr>
          <w:fldChar w:fldCharType="end"/>
        </w:r>
      </w:p>
    </w:sdtContent>
  </w:sdt>
  <w:p w:rsidR="00E02271" w:rsidRPr="0009408A" w:rsidRDefault="00E02271">
    <w:pPr>
      <w:pStyle w:val="a6"/>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0F046E"/>
    <w:multiLevelType w:val="multilevel"/>
    <w:tmpl w:val="2F68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7"/>
    <w:rsid w:val="000012E9"/>
    <w:rsid w:val="00002706"/>
    <w:rsid w:val="000074CA"/>
    <w:rsid w:val="00007E74"/>
    <w:rsid w:val="000125A3"/>
    <w:rsid w:val="00012CD4"/>
    <w:rsid w:val="00013E47"/>
    <w:rsid w:val="00015659"/>
    <w:rsid w:val="000157EA"/>
    <w:rsid w:val="00016F9F"/>
    <w:rsid w:val="00020238"/>
    <w:rsid w:val="00034C4C"/>
    <w:rsid w:val="000368B0"/>
    <w:rsid w:val="00041A4E"/>
    <w:rsid w:val="00050E40"/>
    <w:rsid w:val="00052ED0"/>
    <w:rsid w:val="00056F67"/>
    <w:rsid w:val="00061E7F"/>
    <w:rsid w:val="00062614"/>
    <w:rsid w:val="00064195"/>
    <w:rsid w:val="0006480A"/>
    <w:rsid w:val="00066D16"/>
    <w:rsid w:val="000753F4"/>
    <w:rsid w:val="00087DA0"/>
    <w:rsid w:val="00091F72"/>
    <w:rsid w:val="0009408A"/>
    <w:rsid w:val="000A48CE"/>
    <w:rsid w:val="000A4D2A"/>
    <w:rsid w:val="000B5E1D"/>
    <w:rsid w:val="000C4174"/>
    <w:rsid w:val="000D21F3"/>
    <w:rsid w:val="000E35D1"/>
    <w:rsid w:val="000E7847"/>
    <w:rsid w:val="000F13B5"/>
    <w:rsid w:val="000F26B0"/>
    <w:rsid w:val="000F2924"/>
    <w:rsid w:val="000F4564"/>
    <w:rsid w:val="000F4BDD"/>
    <w:rsid w:val="000F5DE5"/>
    <w:rsid w:val="000F6545"/>
    <w:rsid w:val="0010026F"/>
    <w:rsid w:val="001072EA"/>
    <w:rsid w:val="001127CB"/>
    <w:rsid w:val="00112A99"/>
    <w:rsid w:val="00113995"/>
    <w:rsid w:val="0012188D"/>
    <w:rsid w:val="00123E83"/>
    <w:rsid w:val="0012743E"/>
    <w:rsid w:val="00141482"/>
    <w:rsid w:val="00145DA3"/>
    <w:rsid w:val="0014621C"/>
    <w:rsid w:val="001525B2"/>
    <w:rsid w:val="00156A6C"/>
    <w:rsid w:val="00157C0C"/>
    <w:rsid w:val="00157CA6"/>
    <w:rsid w:val="001617D8"/>
    <w:rsid w:val="00170C56"/>
    <w:rsid w:val="00177661"/>
    <w:rsid w:val="00177CEA"/>
    <w:rsid w:val="00177CFB"/>
    <w:rsid w:val="00181F50"/>
    <w:rsid w:val="00182EE4"/>
    <w:rsid w:val="001875D3"/>
    <w:rsid w:val="00192063"/>
    <w:rsid w:val="001A028F"/>
    <w:rsid w:val="001A16A1"/>
    <w:rsid w:val="001B5D76"/>
    <w:rsid w:val="001B79A9"/>
    <w:rsid w:val="001C2E31"/>
    <w:rsid w:val="001D0516"/>
    <w:rsid w:val="001D5313"/>
    <w:rsid w:val="001E4AA3"/>
    <w:rsid w:val="001F0389"/>
    <w:rsid w:val="002022B8"/>
    <w:rsid w:val="002048E3"/>
    <w:rsid w:val="0021082E"/>
    <w:rsid w:val="002123E6"/>
    <w:rsid w:val="0021607B"/>
    <w:rsid w:val="00217352"/>
    <w:rsid w:val="00217FB3"/>
    <w:rsid w:val="00227B8C"/>
    <w:rsid w:val="00235198"/>
    <w:rsid w:val="00240C30"/>
    <w:rsid w:val="002421BE"/>
    <w:rsid w:val="00242E9E"/>
    <w:rsid w:val="0026574D"/>
    <w:rsid w:val="00273AD4"/>
    <w:rsid w:val="00274BC3"/>
    <w:rsid w:val="00281E2B"/>
    <w:rsid w:val="002837BF"/>
    <w:rsid w:val="00285919"/>
    <w:rsid w:val="002915C8"/>
    <w:rsid w:val="00294471"/>
    <w:rsid w:val="002A5CFF"/>
    <w:rsid w:val="002A7E01"/>
    <w:rsid w:val="002B0312"/>
    <w:rsid w:val="002B7111"/>
    <w:rsid w:val="002C3F46"/>
    <w:rsid w:val="002D1338"/>
    <w:rsid w:val="002D3C0B"/>
    <w:rsid w:val="002D67A1"/>
    <w:rsid w:val="002D7774"/>
    <w:rsid w:val="002E4789"/>
    <w:rsid w:val="002F016A"/>
    <w:rsid w:val="002F707F"/>
    <w:rsid w:val="003031A5"/>
    <w:rsid w:val="00305025"/>
    <w:rsid w:val="0030560C"/>
    <w:rsid w:val="00315137"/>
    <w:rsid w:val="0031556D"/>
    <w:rsid w:val="003177CC"/>
    <w:rsid w:val="0032441F"/>
    <w:rsid w:val="00331658"/>
    <w:rsid w:val="00332432"/>
    <w:rsid w:val="0034028F"/>
    <w:rsid w:val="00350E7E"/>
    <w:rsid w:val="003513E9"/>
    <w:rsid w:val="00352814"/>
    <w:rsid w:val="00361461"/>
    <w:rsid w:val="00370D47"/>
    <w:rsid w:val="003727CD"/>
    <w:rsid w:val="00372C3F"/>
    <w:rsid w:val="0037659E"/>
    <w:rsid w:val="00377DDD"/>
    <w:rsid w:val="00390D6A"/>
    <w:rsid w:val="00392282"/>
    <w:rsid w:val="003924E0"/>
    <w:rsid w:val="003A099E"/>
    <w:rsid w:val="003A370A"/>
    <w:rsid w:val="003B1543"/>
    <w:rsid w:val="003B74FD"/>
    <w:rsid w:val="003C07A8"/>
    <w:rsid w:val="003C39A5"/>
    <w:rsid w:val="003E2806"/>
    <w:rsid w:val="003E45E5"/>
    <w:rsid w:val="003F312B"/>
    <w:rsid w:val="004016CE"/>
    <w:rsid w:val="00403265"/>
    <w:rsid w:val="00412D6E"/>
    <w:rsid w:val="004228F4"/>
    <w:rsid w:val="00422A61"/>
    <w:rsid w:val="00425537"/>
    <w:rsid w:val="00431455"/>
    <w:rsid w:val="004324A7"/>
    <w:rsid w:val="004331C3"/>
    <w:rsid w:val="00434710"/>
    <w:rsid w:val="00444A2D"/>
    <w:rsid w:val="00447688"/>
    <w:rsid w:val="004476D7"/>
    <w:rsid w:val="0045501F"/>
    <w:rsid w:val="00456D0E"/>
    <w:rsid w:val="00461B92"/>
    <w:rsid w:val="00461C37"/>
    <w:rsid w:val="004636C5"/>
    <w:rsid w:val="00470864"/>
    <w:rsid w:val="00472EFB"/>
    <w:rsid w:val="0047396A"/>
    <w:rsid w:val="004803A3"/>
    <w:rsid w:val="004966B6"/>
    <w:rsid w:val="004A05D9"/>
    <w:rsid w:val="004A0EB1"/>
    <w:rsid w:val="004A2451"/>
    <w:rsid w:val="004A5850"/>
    <w:rsid w:val="004A7396"/>
    <w:rsid w:val="004B1889"/>
    <w:rsid w:val="004C5801"/>
    <w:rsid w:val="004D6080"/>
    <w:rsid w:val="004D7A86"/>
    <w:rsid w:val="004E61AE"/>
    <w:rsid w:val="004E796E"/>
    <w:rsid w:val="004F0885"/>
    <w:rsid w:val="00500484"/>
    <w:rsid w:val="005016D6"/>
    <w:rsid w:val="0051354E"/>
    <w:rsid w:val="0051387C"/>
    <w:rsid w:val="0051488E"/>
    <w:rsid w:val="00516E9E"/>
    <w:rsid w:val="00517264"/>
    <w:rsid w:val="00522531"/>
    <w:rsid w:val="00527A2A"/>
    <w:rsid w:val="005308E8"/>
    <w:rsid w:val="005365FD"/>
    <w:rsid w:val="00546C82"/>
    <w:rsid w:val="005505CE"/>
    <w:rsid w:val="005521D7"/>
    <w:rsid w:val="00553FDF"/>
    <w:rsid w:val="005543E9"/>
    <w:rsid w:val="00562B3A"/>
    <w:rsid w:val="00563D93"/>
    <w:rsid w:val="00572B2A"/>
    <w:rsid w:val="005732DA"/>
    <w:rsid w:val="00573C88"/>
    <w:rsid w:val="00576B58"/>
    <w:rsid w:val="00582260"/>
    <w:rsid w:val="00584718"/>
    <w:rsid w:val="00584F5D"/>
    <w:rsid w:val="005859AB"/>
    <w:rsid w:val="00597171"/>
    <w:rsid w:val="005A2708"/>
    <w:rsid w:val="005B40F7"/>
    <w:rsid w:val="005B52E1"/>
    <w:rsid w:val="005B5342"/>
    <w:rsid w:val="005C4BA2"/>
    <w:rsid w:val="005D005E"/>
    <w:rsid w:val="005D5C16"/>
    <w:rsid w:val="005D6A84"/>
    <w:rsid w:val="005E157E"/>
    <w:rsid w:val="005E2297"/>
    <w:rsid w:val="005E3ECC"/>
    <w:rsid w:val="005F04D9"/>
    <w:rsid w:val="005F5CE8"/>
    <w:rsid w:val="006028C6"/>
    <w:rsid w:val="00606540"/>
    <w:rsid w:val="00606F09"/>
    <w:rsid w:val="00616148"/>
    <w:rsid w:val="00622602"/>
    <w:rsid w:val="00625180"/>
    <w:rsid w:val="00625FE7"/>
    <w:rsid w:val="00626BDA"/>
    <w:rsid w:val="0063655C"/>
    <w:rsid w:val="0064755D"/>
    <w:rsid w:val="00651B1B"/>
    <w:rsid w:val="0065413A"/>
    <w:rsid w:val="00664C1E"/>
    <w:rsid w:val="0067738A"/>
    <w:rsid w:val="006833AA"/>
    <w:rsid w:val="00684358"/>
    <w:rsid w:val="006920F3"/>
    <w:rsid w:val="006957F6"/>
    <w:rsid w:val="006A28D3"/>
    <w:rsid w:val="006A538F"/>
    <w:rsid w:val="006B532D"/>
    <w:rsid w:val="006B6921"/>
    <w:rsid w:val="006B77CD"/>
    <w:rsid w:val="006C207F"/>
    <w:rsid w:val="006C280B"/>
    <w:rsid w:val="006C3C77"/>
    <w:rsid w:val="006C4653"/>
    <w:rsid w:val="006C5D83"/>
    <w:rsid w:val="006C6839"/>
    <w:rsid w:val="006C6F56"/>
    <w:rsid w:val="006C79D0"/>
    <w:rsid w:val="006D296E"/>
    <w:rsid w:val="006E3591"/>
    <w:rsid w:val="006F0139"/>
    <w:rsid w:val="006F73C5"/>
    <w:rsid w:val="0070000F"/>
    <w:rsid w:val="0070089E"/>
    <w:rsid w:val="007111D2"/>
    <w:rsid w:val="0071121D"/>
    <w:rsid w:val="00717824"/>
    <w:rsid w:val="0072357A"/>
    <w:rsid w:val="007235FF"/>
    <w:rsid w:val="00724E03"/>
    <w:rsid w:val="007256D1"/>
    <w:rsid w:val="00737266"/>
    <w:rsid w:val="0074545C"/>
    <w:rsid w:val="00753164"/>
    <w:rsid w:val="00755729"/>
    <w:rsid w:val="00755EE0"/>
    <w:rsid w:val="007571E6"/>
    <w:rsid w:val="00764818"/>
    <w:rsid w:val="00766666"/>
    <w:rsid w:val="007738C1"/>
    <w:rsid w:val="00775D85"/>
    <w:rsid w:val="00782E26"/>
    <w:rsid w:val="0079258C"/>
    <w:rsid w:val="007A0745"/>
    <w:rsid w:val="007A51DF"/>
    <w:rsid w:val="007A666C"/>
    <w:rsid w:val="007A6E50"/>
    <w:rsid w:val="007A77AF"/>
    <w:rsid w:val="007B27F0"/>
    <w:rsid w:val="007B5086"/>
    <w:rsid w:val="007B5E78"/>
    <w:rsid w:val="007B750A"/>
    <w:rsid w:val="007B7AA1"/>
    <w:rsid w:val="007D47D1"/>
    <w:rsid w:val="007E071F"/>
    <w:rsid w:val="007E1D3A"/>
    <w:rsid w:val="007E2005"/>
    <w:rsid w:val="007E35E2"/>
    <w:rsid w:val="007F2755"/>
    <w:rsid w:val="007F28B7"/>
    <w:rsid w:val="007F35B7"/>
    <w:rsid w:val="008006E8"/>
    <w:rsid w:val="00802530"/>
    <w:rsid w:val="0080279C"/>
    <w:rsid w:val="00802B43"/>
    <w:rsid w:val="00806788"/>
    <w:rsid w:val="008070A2"/>
    <w:rsid w:val="00814527"/>
    <w:rsid w:val="00820591"/>
    <w:rsid w:val="00820C89"/>
    <w:rsid w:val="00822C65"/>
    <w:rsid w:val="00832937"/>
    <w:rsid w:val="0083756F"/>
    <w:rsid w:val="008523D6"/>
    <w:rsid w:val="0085455C"/>
    <w:rsid w:val="0085645E"/>
    <w:rsid w:val="008600B4"/>
    <w:rsid w:val="00862695"/>
    <w:rsid w:val="00866F66"/>
    <w:rsid w:val="0087140F"/>
    <w:rsid w:val="008716A4"/>
    <w:rsid w:val="00873F72"/>
    <w:rsid w:val="0088274E"/>
    <w:rsid w:val="0088517E"/>
    <w:rsid w:val="00893C21"/>
    <w:rsid w:val="00894BF7"/>
    <w:rsid w:val="008A50E8"/>
    <w:rsid w:val="008A5CC0"/>
    <w:rsid w:val="008B407C"/>
    <w:rsid w:val="008B55F3"/>
    <w:rsid w:val="008C01C2"/>
    <w:rsid w:val="008C0768"/>
    <w:rsid w:val="008C0802"/>
    <w:rsid w:val="008D051B"/>
    <w:rsid w:val="008D14E9"/>
    <w:rsid w:val="008D61D5"/>
    <w:rsid w:val="008D6561"/>
    <w:rsid w:val="008E0D14"/>
    <w:rsid w:val="008E67C8"/>
    <w:rsid w:val="008E6AE4"/>
    <w:rsid w:val="00901F85"/>
    <w:rsid w:val="00902A84"/>
    <w:rsid w:val="00906EA7"/>
    <w:rsid w:val="009106ED"/>
    <w:rsid w:val="00911E52"/>
    <w:rsid w:val="009128C9"/>
    <w:rsid w:val="0091502A"/>
    <w:rsid w:val="00915928"/>
    <w:rsid w:val="0092035F"/>
    <w:rsid w:val="00923593"/>
    <w:rsid w:val="009251CC"/>
    <w:rsid w:val="00932AF2"/>
    <w:rsid w:val="00933472"/>
    <w:rsid w:val="00933967"/>
    <w:rsid w:val="00951DD0"/>
    <w:rsid w:val="00957954"/>
    <w:rsid w:val="0096411F"/>
    <w:rsid w:val="009656D7"/>
    <w:rsid w:val="0097253F"/>
    <w:rsid w:val="00980EB4"/>
    <w:rsid w:val="0098217C"/>
    <w:rsid w:val="009A0C5C"/>
    <w:rsid w:val="009A1AF6"/>
    <w:rsid w:val="009A69B9"/>
    <w:rsid w:val="009B4E88"/>
    <w:rsid w:val="009B5553"/>
    <w:rsid w:val="009C06E6"/>
    <w:rsid w:val="009C37BD"/>
    <w:rsid w:val="009C5797"/>
    <w:rsid w:val="00A043E5"/>
    <w:rsid w:val="00A04EF3"/>
    <w:rsid w:val="00A07161"/>
    <w:rsid w:val="00A07AB8"/>
    <w:rsid w:val="00A14E4B"/>
    <w:rsid w:val="00A1507A"/>
    <w:rsid w:val="00A20C89"/>
    <w:rsid w:val="00A313D9"/>
    <w:rsid w:val="00A3624F"/>
    <w:rsid w:val="00A37066"/>
    <w:rsid w:val="00A425EB"/>
    <w:rsid w:val="00A57117"/>
    <w:rsid w:val="00A61BCD"/>
    <w:rsid w:val="00A715D0"/>
    <w:rsid w:val="00A7250D"/>
    <w:rsid w:val="00A8001D"/>
    <w:rsid w:val="00A80645"/>
    <w:rsid w:val="00A93F0C"/>
    <w:rsid w:val="00AA7DD6"/>
    <w:rsid w:val="00AB15BE"/>
    <w:rsid w:val="00AB298F"/>
    <w:rsid w:val="00AB4044"/>
    <w:rsid w:val="00AC5232"/>
    <w:rsid w:val="00AC7088"/>
    <w:rsid w:val="00AC73B0"/>
    <w:rsid w:val="00AD7FD7"/>
    <w:rsid w:val="00AE5FBA"/>
    <w:rsid w:val="00AF4C88"/>
    <w:rsid w:val="00B019B4"/>
    <w:rsid w:val="00B204B5"/>
    <w:rsid w:val="00B320DB"/>
    <w:rsid w:val="00B44061"/>
    <w:rsid w:val="00B45D6E"/>
    <w:rsid w:val="00B75B9C"/>
    <w:rsid w:val="00B77DF9"/>
    <w:rsid w:val="00B84BBC"/>
    <w:rsid w:val="00B86A58"/>
    <w:rsid w:val="00B920DB"/>
    <w:rsid w:val="00B94180"/>
    <w:rsid w:val="00B965B1"/>
    <w:rsid w:val="00BA3293"/>
    <w:rsid w:val="00BB5404"/>
    <w:rsid w:val="00BB579D"/>
    <w:rsid w:val="00BB7707"/>
    <w:rsid w:val="00BE2173"/>
    <w:rsid w:val="00BE3C77"/>
    <w:rsid w:val="00BF3D86"/>
    <w:rsid w:val="00C02DF5"/>
    <w:rsid w:val="00C1108A"/>
    <w:rsid w:val="00C12483"/>
    <w:rsid w:val="00C1682C"/>
    <w:rsid w:val="00C240F5"/>
    <w:rsid w:val="00C25503"/>
    <w:rsid w:val="00C32CFD"/>
    <w:rsid w:val="00C37AB7"/>
    <w:rsid w:val="00C40E80"/>
    <w:rsid w:val="00C42940"/>
    <w:rsid w:val="00C42CFE"/>
    <w:rsid w:val="00C54FD5"/>
    <w:rsid w:val="00C61332"/>
    <w:rsid w:val="00C62757"/>
    <w:rsid w:val="00C62AB5"/>
    <w:rsid w:val="00C671BD"/>
    <w:rsid w:val="00C675C2"/>
    <w:rsid w:val="00C70054"/>
    <w:rsid w:val="00C84596"/>
    <w:rsid w:val="00C860A7"/>
    <w:rsid w:val="00C906FF"/>
    <w:rsid w:val="00C957F2"/>
    <w:rsid w:val="00C96953"/>
    <w:rsid w:val="00CA0A50"/>
    <w:rsid w:val="00CA3780"/>
    <w:rsid w:val="00CA6115"/>
    <w:rsid w:val="00CA7ABD"/>
    <w:rsid w:val="00CB1F6A"/>
    <w:rsid w:val="00CB2D14"/>
    <w:rsid w:val="00CB5E97"/>
    <w:rsid w:val="00CC288D"/>
    <w:rsid w:val="00CD19CA"/>
    <w:rsid w:val="00CD6BDD"/>
    <w:rsid w:val="00CF18F0"/>
    <w:rsid w:val="00CF4016"/>
    <w:rsid w:val="00CF6160"/>
    <w:rsid w:val="00D020A6"/>
    <w:rsid w:val="00D037ED"/>
    <w:rsid w:val="00D05307"/>
    <w:rsid w:val="00D0553F"/>
    <w:rsid w:val="00D102EA"/>
    <w:rsid w:val="00D12C20"/>
    <w:rsid w:val="00D16FFF"/>
    <w:rsid w:val="00D226E1"/>
    <w:rsid w:val="00D30182"/>
    <w:rsid w:val="00D30443"/>
    <w:rsid w:val="00D30ED0"/>
    <w:rsid w:val="00D36F70"/>
    <w:rsid w:val="00D415DF"/>
    <w:rsid w:val="00D42E1B"/>
    <w:rsid w:val="00D50558"/>
    <w:rsid w:val="00D603E7"/>
    <w:rsid w:val="00D62544"/>
    <w:rsid w:val="00D65076"/>
    <w:rsid w:val="00D72E2F"/>
    <w:rsid w:val="00DA00BE"/>
    <w:rsid w:val="00DA3421"/>
    <w:rsid w:val="00DA602C"/>
    <w:rsid w:val="00DA6C71"/>
    <w:rsid w:val="00DC09D1"/>
    <w:rsid w:val="00DC121D"/>
    <w:rsid w:val="00DC67ED"/>
    <w:rsid w:val="00DD365C"/>
    <w:rsid w:val="00DE258F"/>
    <w:rsid w:val="00DF672C"/>
    <w:rsid w:val="00DF72A6"/>
    <w:rsid w:val="00E02271"/>
    <w:rsid w:val="00E07DC1"/>
    <w:rsid w:val="00E1069E"/>
    <w:rsid w:val="00E15A60"/>
    <w:rsid w:val="00E21105"/>
    <w:rsid w:val="00E25B89"/>
    <w:rsid w:val="00E3106D"/>
    <w:rsid w:val="00E343C8"/>
    <w:rsid w:val="00E54016"/>
    <w:rsid w:val="00E55B43"/>
    <w:rsid w:val="00E609AE"/>
    <w:rsid w:val="00E61112"/>
    <w:rsid w:val="00E6448B"/>
    <w:rsid w:val="00E770B0"/>
    <w:rsid w:val="00E86E27"/>
    <w:rsid w:val="00E8704A"/>
    <w:rsid w:val="00E94BAA"/>
    <w:rsid w:val="00EA1744"/>
    <w:rsid w:val="00EA1AA6"/>
    <w:rsid w:val="00EA74BF"/>
    <w:rsid w:val="00EB5046"/>
    <w:rsid w:val="00EC08F0"/>
    <w:rsid w:val="00EC0A4C"/>
    <w:rsid w:val="00EC5C48"/>
    <w:rsid w:val="00EC6933"/>
    <w:rsid w:val="00EC7B24"/>
    <w:rsid w:val="00ED2DDF"/>
    <w:rsid w:val="00ED592C"/>
    <w:rsid w:val="00ED5D26"/>
    <w:rsid w:val="00EE6F33"/>
    <w:rsid w:val="00EF54EF"/>
    <w:rsid w:val="00F005F3"/>
    <w:rsid w:val="00F01FFC"/>
    <w:rsid w:val="00F03404"/>
    <w:rsid w:val="00F06C3F"/>
    <w:rsid w:val="00F075BA"/>
    <w:rsid w:val="00F119D3"/>
    <w:rsid w:val="00F13C3B"/>
    <w:rsid w:val="00F20CDF"/>
    <w:rsid w:val="00F212BB"/>
    <w:rsid w:val="00F24F2B"/>
    <w:rsid w:val="00F26728"/>
    <w:rsid w:val="00F37069"/>
    <w:rsid w:val="00F45943"/>
    <w:rsid w:val="00F47C75"/>
    <w:rsid w:val="00F546EE"/>
    <w:rsid w:val="00F54D21"/>
    <w:rsid w:val="00F6195C"/>
    <w:rsid w:val="00F61A25"/>
    <w:rsid w:val="00F77268"/>
    <w:rsid w:val="00F80260"/>
    <w:rsid w:val="00F8053D"/>
    <w:rsid w:val="00F85C11"/>
    <w:rsid w:val="00F86626"/>
    <w:rsid w:val="00F8772F"/>
    <w:rsid w:val="00F90962"/>
    <w:rsid w:val="00F94DA4"/>
    <w:rsid w:val="00F96E38"/>
    <w:rsid w:val="00FA04BF"/>
    <w:rsid w:val="00FA0AC8"/>
    <w:rsid w:val="00FA6E0A"/>
    <w:rsid w:val="00FA7ADA"/>
    <w:rsid w:val="00FA7E48"/>
    <w:rsid w:val="00FB387D"/>
    <w:rsid w:val="00FB4BC6"/>
    <w:rsid w:val="00FB68F2"/>
    <w:rsid w:val="00FC20EC"/>
    <w:rsid w:val="00FE67AF"/>
    <w:rsid w:val="00FF0492"/>
    <w:rsid w:val="00FF2FEE"/>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E480"/>
  <w15:docId w15:val="{74A2115E-C982-45C8-9809-054CC779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2C"/>
  </w:style>
  <w:style w:type="paragraph" w:styleId="1">
    <w:name w:val="heading 1"/>
    <w:basedOn w:val="a"/>
    <w:next w:val="a"/>
    <w:link w:val="10"/>
    <w:qFormat/>
    <w:rsid w:val="00A37066"/>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2C"/>
    <w:rPr>
      <w:rFonts w:ascii="Tahoma" w:hAnsi="Tahoma" w:cs="Tahoma"/>
      <w:sz w:val="16"/>
      <w:szCs w:val="16"/>
    </w:rPr>
  </w:style>
  <w:style w:type="paragraph" w:styleId="a6">
    <w:name w:val="header"/>
    <w:basedOn w:val="a"/>
    <w:link w:val="a7"/>
    <w:uiPriority w:val="99"/>
    <w:unhideWhenUsed/>
    <w:rsid w:val="00317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7CC"/>
  </w:style>
  <w:style w:type="paragraph" w:styleId="a8">
    <w:name w:val="footer"/>
    <w:basedOn w:val="a"/>
    <w:link w:val="a9"/>
    <w:uiPriority w:val="99"/>
    <w:unhideWhenUsed/>
    <w:rsid w:val="00317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7CC"/>
  </w:style>
  <w:style w:type="paragraph" w:customStyle="1" w:styleId="aa">
    <w:name w:val="Знак Знак Знак Знак"/>
    <w:basedOn w:val="a"/>
    <w:uiPriority w:val="99"/>
    <w:qFormat/>
    <w:rsid w:val="00911E52"/>
    <w:pPr>
      <w:spacing w:after="160" w:line="240" w:lineRule="exact"/>
    </w:pPr>
    <w:rPr>
      <w:rFonts w:ascii="Verdana" w:eastAsia="Times New Roman" w:hAnsi="Verdana" w:cs="Times New Roman"/>
      <w:sz w:val="20"/>
      <w:szCs w:val="20"/>
      <w:lang w:val="en-US"/>
    </w:rPr>
  </w:style>
  <w:style w:type="paragraph" w:styleId="ab">
    <w:name w:val="Body Text"/>
    <w:basedOn w:val="a"/>
    <w:link w:val="ac"/>
    <w:uiPriority w:val="99"/>
    <w:rsid w:val="00911E5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911E52"/>
    <w:rPr>
      <w:rFonts w:ascii="Times New Roman" w:eastAsia="Times New Roman" w:hAnsi="Times New Roman" w:cs="Times New Roman"/>
      <w:sz w:val="24"/>
      <w:szCs w:val="24"/>
      <w:lang w:eastAsia="ru-RU"/>
    </w:rPr>
  </w:style>
  <w:style w:type="paragraph" w:customStyle="1" w:styleId="ad">
    <w:name w:val="Знак"/>
    <w:basedOn w:val="a"/>
    <w:rsid w:val="00911E52"/>
    <w:pPr>
      <w:spacing w:after="160" w:line="240" w:lineRule="exact"/>
    </w:pPr>
    <w:rPr>
      <w:rFonts w:ascii="Verdana" w:eastAsia="Times New Roman" w:hAnsi="Verdana" w:cs="Verdana"/>
      <w:sz w:val="20"/>
      <w:szCs w:val="20"/>
      <w:lang w:val="en-US"/>
    </w:rPr>
  </w:style>
  <w:style w:type="paragraph" w:styleId="ae">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
    <w:uiPriority w:val="99"/>
    <w:unhideWhenUsed/>
    <w:qFormat/>
    <w:rsid w:val="0091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A37066"/>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11E52"/>
    <w:pPr>
      <w:ind w:left="720"/>
      <w:contextualSpacing/>
    </w:pPr>
    <w:rPr>
      <w:rFonts w:ascii="Calibri" w:eastAsia="Times New Roman" w:hAnsi="Calibri" w:cs="Times New Roman"/>
      <w:lang w:eastAsia="ru-RU"/>
    </w:rPr>
  </w:style>
  <w:style w:type="character" w:customStyle="1" w:styleId="af1">
    <w:name w:val="Абзац списка Знак"/>
    <w:link w:val="af0"/>
    <w:uiPriority w:val="34"/>
    <w:locked/>
    <w:rsid w:val="004D7A86"/>
    <w:rPr>
      <w:rFonts w:ascii="Calibri" w:eastAsia="Times New Roman" w:hAnsi="Calibri" w:cs="Times New Roman"/>
      <w:lang w:eastAsia="ru-RU"/>
    </w:rPr>
  </w:style>
  <w:style w:type="paragraph" w:styleId="af2">
    <w:name w:val="No Spacing"/>
    <w:link w:val="af3"/>
    <w:uiPriority w:val="1"/>
    <w:qFormat/>
    <w:rsid w:val="00911E52"/>
    <w:pPr>
      <w:spacing w:after="0" w:line="240" w:lineRule="auto"/>
    </w:pPr>
    <w:rPr>
      <w:rFonts w:ascii="Calibri" w:eastAsia="Calibri" w:hAnsi="Calibri" w:cs="Times New Roman"/>
    </w:rPr>
  </w:style>
  <w:style w:type="character" w:customStyle="1" w:styleId="af3">
    <w:name w:val="Без интервала Знак"/>
    <w:link w:val="af2"/>
    <w:uiPriority w:val="1"/>
    <w:rsid w:val="004D7A86"/>
    <w:rPr>
      <w:rFonts w:ascii="Calibri" w:eastAsia="Calibri" w:hAnsi="Calibri" w:cs="Times New Roman"/>
    </w:rPr>
  </w:style>
  <w:style w:type="paragraph" w:customStyle="1" w:styleId="ConsPlusNormal">
    <w:name w:val="ConsPlusNormal"/>
    <w:link w:val="ConsPlusNormal0"/>
    <w:qFormat/>
    <w:rsid w:val="00911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1E52"/>
    <w:rPr>
      <w:rFonts w:ascii="Arial" w:eastAsia="Times New Roman" w:hAnsi="Arial" w:cs="Arial"/>
      <w:sz w:val="20"/>
      <w:szCs w:val="20"/>
      <w:lang w:eastAsia="ru-RU"/>
    </w:rPr>
  </w:style>
  <w:style w:type="character" w:styleId="af4">
    <w:name w:val="Strong"/>
    <w:qFormat/>
    <w:rsid w:val="00911E52"/>
    <w:rPr>
      <w:b/>
      <w:bCs/>
    </w:rPr>
  </w:style>
  <w:style w:type="paragraph" w:customStyle="1" w:styleId="TableText">
    <w:name w:val="Table Text"/>
    <w:uiPriority w:val="99"/>
    <w:rsid w:val="00911E52"/>
    <w:pPr>
      <w:widowControl w:val="0"/>
      <w:autoSpaceDE w:val="0"/>
      <w:autoSpaceDN w:val="0"/>
      <w:spacing w:after="0" w:line="240" w:lineRule="auto"/>
    </w:pPr>
    <w:rPr>
      <w:rFonts w:ascii="Times New Roman" w:eastAsia="Times New Roman" w:hAnsi="Times New Roman" w:cs="Times New Roman"/>
      <w:sz w:val="18"/>
      <w:szCs w:val="18"/>
      <w:lang w:eastAsia="ru-RU"/>
    </w:rPr>
  </w:style>
  <w:style w:type="table" w:customStyle="1" w:styleId="11">
    <w:name w:val="Сетка таблицы1"/>
    <w:basedOn w:val="a1"/>
    <w:next w:val="a3"/>
    <w:uiPriority w:val="59"/>
    <w:rsid w:val="00606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unhideWhenUsed/>
    <w:rsid w:val="005308E8"/>
    <w:pPr>
      <w:spacing w:after="120"/>
      <w:ind w:left="283"/>
    </w:pPr>
  </w:style>
  <w:style w:type="character" w:customStyle="1" w:styleId="af6">
    <w:name w:val="Основной текст с отступом Знак"/>
    <w:basedOn w:val="a0"/>
    <w:link w:val="af5"/>
    <w:semiHidden/>
    <w:rsid w:val="005308E8"/>
  </w:style>
  <w:style w:type="table" w:customStyle="1" w:styleId="2">
    <w:name w:val="Сетка таблицы2"/>
    <w:basedOn w:val="a1"/>
    <w:next w:val="a3"/>
    <w:uiPriority w:val="59"/>
    <w:rsid w:val="008600B4"/>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5225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22531"/>
    <w:rPr>
      <w:rFonts w:ascii="Times New Roman" w:eastAsia="Times New Roman" w:hAnsi="Times New Roman" w:cs="Times New Roman"/>
      <w:sz w:val="28"/>
      <w:szCs w:val="28"/>
      <w:lang w:eastAsia="ru-RU"/>
    </w:rPr>
  </w:style>
  <w:style w:type="character" w:customStyle="1" w:styleId="apple-style-span">
    <w:name w:val="apple-style-span"/>
    <w:basedOn w:val="a0"/>
    <w:rsid w:val="00522531"/>
    <w:rPr>
      <w:rFonts w:ascii="Times New Roman" w:hAnsi="Times New Roman" w:cs="Times New Roman" w:hint="default"/>
    </w:rPr>
  </w:style>
  <w:style w:type="paragraph" w:customStyle="1" w:styleId="12">
    <w:name w:val="Без интервала1"/>
    <w:rsid w:val="00522531"/>
    <w:pPr>
      <w:spacing w:after="0" w:line="240" w:lineRule="auto"/>
      <w:jc w:val="both"/>
    </w:pPr>
    <w:rPr>
      <w:rFonts w:ascii="Calibri" w:eastAsia="Times New Roman" w:hAnsi="Calibri" w:cs="Calibri"/>
    </w:rPr>
  </w:style>
  <w:style w:type="paragraph" w:styleId="af7">
    <w:name w:val="Plain Text"/>
    <w:basedOn w:val="a"/>
    <w:link w:val="af8"/>
    <w:rsid w:val="00DF672C"/>
    <w:pPr>
      <w:spacing w:after="0" w:line="221" w:lineRule="auto"/>
    </w:pPr>
    <w:rPr>
      <w:rFonts w:ascii="Courier New" w:eastAsia="Times New Roman" w:hAnsi="Courier New" w:cs="Arial"/>
      <w:sz w:val="20"/>
      <w:szCs w:val="20"/>
      <w:lang w:eastAsia="ru-RU"/>
    </w:rPr>
  </w:style>
  <w:style w:type="character" w:customStyle="1" w:styleId="af8">
    <w:name w:val="Текст Знак"/>
    <w:basedOn w:val="a0"/>
    <w:link w:val="af7"/>
    <w:rsid w:val="00DF672C"/>
    <w:rPr>
      <w:rFonts w:ascii="Courier New" w:eastAsia="Times New Roman" w:hAnsi="Courier New" w:cs="Arial"/>
      <w:sz w:val="20"/>
      <w:szCs w:val="20"/>
      <w:lang w:eastAsia="ru-RU"/>
    </w:rPr>
  </w:style>
  <w:style w:type="character" w:customStyle="1" w:styleId="10">
    <w:name w:val="Заголовок 1 Знак"/>
    <w:basedOn w:val="a0"/>
    <w:link w:val="1"/>
    <w:rsid w:val="00A37066"/>
    <w:rPr>
      <w:rFonts w:ascii="Cambria" w:eastAsia="Times New Roman" w:hAnsi="Cambria" w:cs="Times New Roman"/>
      <w:b/>
      <w:bCs/>
      <w:color w:val="365F91"/>
      <w:sz w:val="28"/>
      <w:szCs w:val="28"/>
      <w:lang w:val="x-none" w:eastAsia="x-none"/>
    </w:rPr>
  </w:style>
  <w:style w:type="character" w:customStyle="1" w:styleId="af9">
    <w:name w:val="Текст примечания Знак"/>
    <w:basedOn w:val="a0"/>
    <w:link w:val="afa"/>
    <w:uiPriority w:val="99"/>
    <w:semiHidden/>
    <w:locked/>
    <w:rsid w:val="00A37066"/>
    <w:rPr>
      <w:sz w:val="20"/>
      <w:szCs w:val="20"/>
    </w:rPr>
  </w:style>
  <w:style w:type="paragraph" w:styleId="afa">
    <w:name w:val="annotation text"/>
    <w:basedOn w:val="a"/>
    <w:link w:val="af9"/>
    <w:uiPriority w:val="99"/>
    <w:semiHidden/>
    <w:unhideWhenUsed/>
    <w:rsid w:val="00A37066"/>
    <w:pPr>
      <w:spacing w:after="160" w:line="240" w:lineRule="auto"/>
    </w:pPr>
    <w:rPr>
      <w:sz w:val="20"/>
      <w:szCs w:val="20"/>
    </w:rPr>
  </w:style>
  <w:style w:type="character" w:customStyle="1" w:styleId="afb">
    <w:name w:val="Заголовок Знак"/>
    <w:basedOn w:val="a0"/>
    <w:link w:val="afc"/>
    <w:locked/>
    <w:rsid w:val="00A37066"/>
    <w:rPr>
      <w:rFonts w:ascii="Times New Roman" w:eastAsia="Times New Roman" w:hAnsi="Times New Roman" w:cs="Times New Roman"/>
      <w:sz w:val="24"/>
      <w:szCs w:val="20"/>
      <w:lang w:val="x-none" w:eastAsia="x-none"/>
    </w:rPr>
  </w:style>
  <w:style w:type="paragraph" w:styleId="afc">
    <w:name w:val="Title"/>
    <w:basedOn w:val="a"/>
    <w:next w:val="a"/>
    <w:link w:val="afb"/>
    <w:qFormat/>
    <w:rsid w:val="00A37066"/>
    <w:pPr>
      <w:pBdr>
        <w:bottom w:val="single" w:sz="8" w:space="4" w:color="4F81BD" w:themeColor="accent1"/>
      </w:pBdr>
      <w:spacing w:after="300" w:line="240" w:lineRule="auto"/>
      <w:contextualSpacing/>
    </w:pPr>
    <w:rPr>
      <w:rFonts w:ascii="Times New Roman" w:eastAsia="Times New Roman" w:hAnsi="Times New Roman" w:cs="Times New Roman"/>
      <w:sz w:val="24"/>
      <w:szCs w:val="20"/>
      <w:lang w:val="x-none" w:eastAsia="x-none"/>
    </w:rPr>
  </w:style>
  <w:style w:type="character" w:customStyle="1" w:styleId="20">
    <w:name w:val="Основной текст с отступом 2 Знак"/>
    <w:basedOn w:val="a0"/>
    <w:link w:val="21"/>
    <w:semiHidden/>
    <w:locked/>
    <w:rsid w:val="00A37066"/>
  </w:style>
  <w:style w:type="paragraph" w:styleId="21">
    <w:name w:val="Body Text Indent 2"/>
    <w:basedOn w:val="a"/>
    <w:link w:val="20"/>
    <w:semiHidden/>
    <w:unhideWhenUsed/>
    <w:rsid w:val="00A37066"/>
    <w:pPr>
      <w:spacing w:after="120" w:line="480" w:lineRule="auto"/>
      <w:ind w:left="283"/>
    </w:pPr>
  </w:style>
  <w:style w:type="character" w:customStyle="1" w:styleId="3">
    <w:name w:val="Основной текст с отступом 3 Знак"/>
    <w:basedOn w:val="a0"/>
    <w:link w:val="30"/>
    <w:semiHidden/>
    <w:locked/>
    <w:rsid w:val="00A37066"/>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7066"/>
    <w:pPr>
      <w:spacing w:after="120" w:line="256" w:lineRule="auto"/>
      <w:ind w:left="283"/>
    </w:pPr>
    <w:rPr>
      <w:rFonts w:ascii="Times New Roman" w:eastAsia="Times New Roman" w:hAnsi="Times New Roman" w:cs="Times New Roman"/>
      <w:sz w:val="16"/>
      <w:szCs w:val="16"/>
      <w:lang w:eastAsia="ru-RU"/>
    </w:rPr>
  </w:style>
  <w:style w:type="character" w:customStyle="1" w:styleId="13">
    <w:name w:val="Текст примечания Знак1"/>
    <w:basedOn w:val="a0"/>
    <w:uiPriority w:val="99"/>
    <w:semiHidden/>
    <w:rsid w:val="00A37066"/>
    <w:rPr>
      <w:sz w:val="20"/>
      <w:szCs w:val="20"/>
    </w:rPr>
  </w:style>
  <w:style w:type="character" w:customStyle="1" w:styleId="afd">
    <w:name w:val="Тема примечания Знак"/>
    <w:basedOn w:val="af9"/>
    <w:link w:val="afe"/>
    <w:uiPriority w:val="99"/>
    <w:semiHidden/>
    <w:locked/>
    <w:rsid w:val="00A37066"/>
    <w:rPr>
      <w:b/>
      <w:bCs/>
      <w:sz w:val="20"/>
      <w:szCs w:val="20"/>
    </w:rPr>
  </w:style>
  <w:style w:type="paragraph" w:styleId="afe">
    <w:name w:val="annotation subject"/>
    <w:basedOn w:val="afa"/>
    <w:next w:val="afa"/>
    <w:link w:val="afd"/>
    <w:uiPriority w:val="99"/>
    <w:semiHidden/>
    <w:unhideWhenUsed/>
    <w:rsid w:val="00A37066"/>
    <w:rPr>
      <w:b/>
      <w:bCs/>
    </w:rPr>
  </w:style>
  <w:style w:type="character" w:customStyle="1" w:styleId="22">
    <w:name w:val="Основной текст (2)_"/>
    <w:link w:val="23"/>
    <w:locked/>
    <w:rsid w:val="00A37066"/>
    <w:rPr>
      <w:shd w:val="clear" w:color="auto" w:fill="FFFFFF"/>
    </w:rPr>
  </w:style>
  <w:style w:type="paragraph" w:customStyle="1" w:styleId="23">
    <w:name w:val="Основной текст (2)"/>
    <w:basedOn w:val="a"/>
    <w:link w:val="22"/>
    <w:qFormat/>
    <w:rsid w:val="00A37066"/>
    <w:pPr>
      <w:shd w:val="clear" w:color="auto" w:fill="FFFFFF"/>
      <w:spacing w:after="240" w:line="274" w:lineRule="exact"/>
      <w:ind w:firstLine="480"/>
    </w:pPr>
  </w:style>
  <w:style w:type="character" w:customStyle="1" w:styleId="210">
    <w:name w:val="Основной текст с отступом 2 Знак1"/>
    <w:basedOn w:val="a0"/>
    <w:semiHidden/>
    <w:rsid w:val="00A37066"/>
  </w:style>
  <w:style w:type="character" w:customStyle="1" w:styleId="31">
    <w:name w:val="Основной текст с отступом 3 Знак1"/>
    <w:basedOn w:val="a0"/>
    <w:semiHidden/>
    <w:rsid w:val="00A37066"/>
    <w:rPr>
      <w:sz w:val="16"/>
      <w:szCs w:val="16"/>
    </w:rPr>
  </w:style>
  <w:style w:type="character" w:customStyle="1" w:styleId="14">
    <w:name w:val="Название Знак1"/>
    <w:basedOn w:val="a0"/>
    <w:rsid w:val="00A37066"/>
    <w:rPr>
      <w:rFonts w:asciiTheme="majorHAnsi" w:eastAsiaTheme="majorEastAsia" w:hAnsiTheme="majorHAnsi" w:cstheme="majorBidi"/>
      <w:color w:val="17365D" w:themeColor="text2" w:themeShade="BF"/>
      <w:spacing w:val="5"/>
      <w:kern w:val="28"/>
      <w:sz w:val="52"/>
      <w:szCs w:val="52"/>
    </w:rPr>
  </w:style>
  <w:style w:type="character" w:customStyle="1" w:styleId="15">
    <w:name w:val="Тема примечания Знак1"/>
    <w:basedOn w:val="13"/>
    <w:uiPriority w:val="99"/>
    <w:semiHidden/>
    <w:rsid w:val="00A37066"/>
    <w:rPr>
      <w:b/>
      <w:bCs/>
      <w:sz w:val="20"/>
      <w:szCs w:val="20"/>
    </w:rPr>
  </w:style>
  <w:style w:type="paragraph" w:customStyle="1" w:styleId="msonormalmailrucssattributepostfix">
    <w:name w:val="msonormal_mailru_css_attribute_postfix"/>
    <w:basedOn w:val="a"/>
    <w:uiPriority w:val="99"/>
    <w:qFormat/>
    <w:rsid w:val="00A37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A370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1A028F"/>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pple-converted-space">
    <w:name w:val="apple-converted-space"/>
    <w:basedOn w:val="a0"/>
    <w:rsid w:val="008E0D14"/>
    <w:rPr>
      <w:rFonts w:cs="Times New Roman"/>
    </w:rPr>
  </w:style>
  <w:style w:type="paragraph" w:customStyle="1" w:styleId="paragraph">
    <w:name w:val="paragraph"/>
    <w:basedOn w:val="a"/>
    <w:rsid w:val="00FB3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87D"/>
  </w:style>
  <w:style w:type="character" w:customStyle="1" w:styleId="eop">
    <w:name w:val="eop"/>
    <w:basedOn w:val="a0"/>
    <w:rsid w:val="00FB387D"/>
  </w:style>
  <w:style w:type="character" w:customStyle="1" w:styleId="spellingerror">
    <w:name w:val="spellingerror"/>
    <w:basedOn w:val="a0"/>
    <w:rsid w:val="00FB387D"/>
  </w:style>
  <w:style w:type="character" w:customStyle="1" w:styleId="contextualspellingandgrammarerror">
    <w:name w:val="contextualspellingandgrammarerror"/>
    <w:basedOn w:val="a0"/>
    <w:rsid w:val="00FB387D"/>
  </w:style>
  <w:style w:type="paragraph" w:styleId="aff">
    <w:name w:val="footnote text"/>
    <w:basedOn w:val="a"/>
    <w:link w:val="aff0"/>
    <w:uiPriority w:val="99"/>
    <w:semiHidden/>
    <w:unhideWhenUsed/>
    <w:rsid w:val="003B1543"/>
    <w:pPr>
      <w:spacing w:after="0" w:line="240" w:lineRule="auto"/>
    </w:pPr>
    <w:rPr>
      <w:sz w:val="20"/>
      <w:szCs w:val="20"/>
    </w:rPr>
  </w:style>
  <w:style w:type="character" w:customStyle="1" w:styleId="aff0">
    <w:name w:val="Текст сноски Знак"/>
    <w:basedOn w:val="a0"/>
    <w:link w:val="aff"/>
    <w:uiPriority w:val="99"/>
    <w:semiHidden/>
    <w:rsid w:val="003B1543"/>
    <w:rPr>
      <w:sz w:val="20"/>
      <w:szCs w:val="20"/>
    </w:rPr>
  </w:style>
  <w:style w:type="character" w:styleId="aff1">
    <w:name w:val="footnote reference"/>
    <w:basedOn w:val="a0"/>
    <w:uiPriority w:val="99"/>
    <w:semiHidden/>
    <w:unhideWhenUsed/>
    <w:rsid w:val="003B1543"/>
    <w:rPr>
      <w:vertAlign w:val="superscript"/>
    </w:rPr>
  </w:style>
  <w:style w:type="paragraph" w:styleId="aff2">
    <w:name w:val="endnote text"/>
    <w:basedOn w:val="a"/>
    <w:link w:val="aff3"/>
    <w:uiPriority w:val="99"/>
    <w:semiHidden/>
    <w:unhideWhenUsed/>
    <w:rsid w:val="003B1543"/>
    <w:pPr>
      <w:spacing w:after="0" w:line="240" w:lineRule="auto"/>
    </w:pPr>
    <w:rPr>
      <w:sz w:val="20"/>
      <w:szCs w:val="20"/>
    </w:rPr>
  </w:style>
  <w:style w:type="character" w:customStyle="1" w:styleId="aff3">
    <w:name w:val="Текст концевой сноски Знак"/>
    <w:basedOn w:val="a0"/>
    <w:link w:val="aff2"/>
    <w:uiPriority w:val="99"/>
    <w:semiHidden/>
    <w:rsid w:val="003B1543"/>
    <w:rPr>
      <w:sz w:val="20"/>
      <w:szCs w:val="20"/>
    </w:rPr>
  </w:style>
  <w:style w:type="character" w:styleId="aff4">
    <w:name w:val="endnote reference"/>
    <w:basedOn w:val="a0"/>
    <w:uiPriority w:val="99"/>
    <w:semiHidden/>
    <w:unhideWhenUsed/>
    <w:rsid w:val="003B1543"/>
    <w:rPr>
      <w:vertAlign w:val="superscript"/>
    </w:rPr>
  </w:style>
  <w:style w:type="paragraph" w:customStyle="1" w:styleId="ConsPlusTitle">
    <w:name w:val="ConsPlusTitle"/>
    <w:rsid w:val="006E3591"/>
    <w:pPr>
      <w:widowControl w:val="0"/>
      <w:autoSpaceDE w:val="0"/>
      <w:autoSpaceDN w:val="0"/>
      <w:spacing w:after="0" w:line="240" w:lineRule="auto"/>
    </w:pPr>
    <w:rPr>
      <w:rFonts w:ascii="Calibri" w:eastAsia="Times New Roman" w:hAnsi="Calibri" w:cs="Calibri"/>
      <w:b/>
      <w:szCs w:val="20"/>
      <w:lang w:eastAsia="ru-RU"/>
    </w:rPr>
  </w:style>
  <w:style w:type="table" w:customStyle="1" w:styleId="32">
    <w:name w:val="Сетка таблицы3"/>
    <w:basedOn w:val="a1"/>
    <w:next w:val="a3"/>
    <w:uiPriority w:val="59"/>
    <w:rsid w:val="005847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9429">
      <w:bodyDiv w:val="1"/>
      <w:marLeft w:val="0"/>
      <w:marRight w:val="0"/>
      <w:marTop w:val="0"/>
      <w:marBottom w:val="0"/>
      <w:divBdr>
        <w:top w:val="none" w:sz="0" w:space="0" w:color="auto"/>
        <w:left w:val="none" w:sz="0" w:space="0" w:color="auto"/>
        <w:bottom w:val="none" w:sz="0" w:space="0" w:color="auto"/>
        <w:right w:val="none" w:sz="0" w:space="0" w:color="auto"/>
      </w:divBdr>
    </w:div>
    <w:div w:id="469900924">
      <w:bodyDiv w:val="1"/>
      <w:marLeft w:val="0"/>
      <w:marRight w:val="0"/>
      <w:marTop w:val="0"/>
      <w:marBottom w:val="0"/>
      <w:divBdr>
        <w:top w:val="none" w:sz="0" w:space="0" w:color="auto"/>
        <w:left w:val="none" w:sz="0" w:space="0" w:color="auto"/>
        <w:bottom w:val="none" w:sz="0" w:space="0" w:color="auto"/>
        <w:right w:val="none" w:sz="0" w:space="0" w:color="auto"/>
      </w:divBdr>
    </w:div>
    <w:div w:id="608128132">
      <w:bodyDiv w:val="1"/>
      <w:marLeft w:val="0"/>
      <w:marRight w:val="0"/>
      <w:marTop w:val="0"/>
      <w:marBottom w:val="0"/>
      <w:divBdr>
        <w:top w:val="none" w:sz="0" w:space="0" w:color="auto"/>
        <w:left w:val="none" w:sz="0" w:space="0" w:color="auto"/>
        <w:bottom w:val="none" w:sz="0" w:space="0" w:color="auto"/>
        <w:right w:val="none" w:sz="0" w:space="0" w:color="auto"/>
      </w:divBdr>
    </w:div>
    <w:div w:id="909340776">
      <w:bodyDiv w:val="1"/>
      <w:marLeft w:val="0"/>
      <w:marRight w:val="0"/>
      <w:marTop w:val="0"/>
      <w:marBottom w:val="0"/>
      <w:divBdr>
        <w:top w:val="none" w:sz="0" w:space="0" w:color="auto"/>
        <w:left w:val="none" w:sz="0" w:space="0" w:color="auto"/>
        <w:bottom w:val="none" w:sz="0" w:space="0" w:color="auto"/>
        <w:right w:val="none" w:sz="0" w:space="0" w:color="auto"/>
      </w:divBdr>
    </w:div>
    <w:div w:id="1048147539">
      <w:bodyDiv w:val="1"/>
      <w:marLeft w:val="0"/>
      <w:marRight w:val="0"/>
      <w:marTop w:val="0"/>
      <w:marBottom w:val="0"/>
      <w:divBdr>
        <w:top w:val="none" w:sz="0" w:space="0" w:color="auto"/>
        <w:left w:val="none" w:sz="0" w:space="0" w:color="auto"/>
        <w:bottom w:val="none" w:sz="0" w:space="0" w:color="auto"/>
        <w:right w:val="none" w:sz="0" w:space="0" w:color="auto"/>
      </w:divBdr>
    </w:div>
    <w:div w:id="1147013765">
      <w:bodyDiv w:val="1"/>
      <w:marLeft w:val="0"/>
      <w:marRight w:val="0"/>
      <w:marTop w:val="0"/>
      <w:marBottom w:val="0"/>
      <w:divBdr>
        <w:top w:val="none" w:sz="0" w:space="0" w:color="auto"/>
        <w:left w:val="none" w:sz="0" w:space="0" w:color="auto"/>
        <w:bottom w:val="none" w:sz="0" w:space="0" w:color="auto"/>
        <w:right w:val="none" w:sz="0" w:space="0" w:color="auto"/>
      </w:divBdr>
    </w:div>
    <w:div w:id="1219516546">
      <w:bodyDiv w:val="1"/>
      <w:marLeft w:val="0"/>
      <w:marRight w:val="0"/>
      <w:marTop w:val="0"/>
      <w:marBottom w:val="0"/>
      <w:divBdr>
        <w:top w:val="none" w:sz="0" w:space="0" w:color="auto"/>
        <w:left w:val="none" w:sz="0" w:space="0" w:color="auto"/>
        <w:bottom w:val="none" w:sz="0" w:space="0" w:color="auto"/>
        <w:right w:val="none" w:sz="0" w:space="0" w:color="auto"/>
      </w:divBdr>
    </w:div>
    <w:div w:id="1251886160">
      <w:bodyDiv w:val="1"/>
      <w:marLeft w:val="0"/>
      <w:marRight w:val="0"/>
      <w:marTop w:val="0"/>
      <w:marBottom w:val="0"/>
      <w:divBdr>
        <w:top w:val="none" w:sz="0" w:space="0" w:color="auto"/>
        <w:left w:val="none" w:sz="0" w:space="0" w:color="auto"/>
        <w:bottom w:val="none" w:sz="0" w:space="0" w:color="auto"/>
        <w:right w:val="none" w:sz="0" w:space="0" w:color="auto"/>
      </w:divBdr>
    </w:div>
    <w:div w:id="1518957922">
      <w:bodyDiv w:val="1"/>
      <w:marLeft w:val="0"/>
      <w:marRight w:val="0"/>
      <w:marTop w:val="0"/>
      <w:marBottom w:val="0"/>
      <w:divBdr>
        <w:top w:val="none" w:sz="0" w:space="0" w:color="auto"/>
        <w:left w:val="none" w:sz="0" w:space="0" w:color="auto"/>
        <w:bottom w:val="none" w:sz="0" w:space="0" w:color="auto"/>
        <w:right w:val="none" w:sz="0" w:space="0" w:color="auto"/>
      </w:divBdr>
    </w:div>
    <w:div w:id="1545412638">
      <w:bodyDiv w:val="1"/>
      <w:marLeft w:val="0"/>
      <w:marRight w:val="0"/>
      <w:marTop w:val="0"/>
      <w:marBottom w:val="0"/>
      <w:divBdr>
        <w:top w:val="none" w:sz="0" w:space="0" w:color="auto"/>
        <w:left w:val="none" w:sz="0" w:space="0" w:color="auto"/>
        <w:bottom w:val="none" w:sz="0" w:space="0" w:color="auto"/>
        <w:right w:val="none" w:sz="0" w:space="0" w:color="auto"/>
      </w:divBdr>
    </w:div>
    <w:div w:id="1801413841">
      <w:bodyDiv w:val="1"/>
      <w:marLeft w:val="0"/>
      <w:marRight w:val="0"/>
      <w:marTop w:val="0"/>
      <w:marBottom w:val="0"/>
      <w:divBdr>
        <w:top w:val="none" w:sz="0" w:space="0" w:color="auto"/>
        <w:left w:val="none" w:sz="0" w:space="0" w:color="auto"/>
        <w:bottom w:val="none" w:sz="0" w:space="0" w:color="auto"/>
        <w:right w:val="none" w:sz="0" w:space="0" w:color="auto"/>
      </w:divBdr>
    </w:div>
    <w:div w:id="1834760748">
      <w:bodyDiv w:val="1"/>
      <w:marLeft w:val="0"/>
      <w:marRight w:val="0"/>
      <w:marTop w:val="0"/>
      <w:marBottom w:val="0"/>
      <w:divBdr>
        <w:top w:val="none" w:sz="0" w:space="0" w:color="auto"/>
        <w:left w:val="none" w:sz="0" w:space="0" w:color="auto"/>
        <w:bottom w:val="none" w:sz="0" w:space="0" w:color="auto"/>
        <w:right w:val="none" w:sz="0" w:space="0" w:color="auto"/>
      </w:divBdr>
    </w:div>
    <w:div w:id="1947106592">
      <w:bodyDiv w:val="1"/>
      <w:marLeft w:val="0"/>
      <w:marRight w:val="0"/>
      <w:marTop w:val="0"/>
      <w:marBottom w:val="0"/>
      <w:divBdr>
        <w:top w:val="none" w:sz="0" w:space="0" w:color="auto"/>
        <w:left w:val="none" w:sz="0" w:space="0" w:color="auto"/>
        <w:bottom w:val="none" w:sz="0" w:space="0" w:color="auto"/>
        <w:right w:val="none" w:sz="0" w:space="0" w:color="auto"/>
      </w:divBdr>
    </w:div>
    <w:div w:id="20748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megion.ru/investitsionnyy-potentsial/investitsionnye-predlozhe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vestm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2041-F105-44D4-9D1C-017A9E4E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61</Pages>
  <Words>26682</Words>
  <Characters>152093</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 городского округа город Мегион за 2017 год</vt:lpstr>
    </vt:vector>
  </TitlesOfParts>
  <Company>Администрация г.Мегион</Company>
  <LinksUpToDate>false</LinksUpToDate>
  <CharactersWithSpaces>178419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 городского округа город Мегион за 2017 год</dc:title>
  <dc:creator>Суяримбетова Галия Нуримановна</dc:creator>
  <cp:lastModifiedBy>Суяримбетова Галия Нуримановна</cp:lastModifiedBy>
  <cp:revision>48</cp:revision>
  <cp:lastPrinted>2020-03-24T05:36:00Z</cp:lastPrinted>
  <dcterms:created xsi:type="dcterms:W3CDTF">2020-03-23T04:20:00Z</dcterms:created>
  <dcterms:modified xsi:type="dcterms:W3CDTF">2020-07-13T06:39:00Z</dcterms:modified>
</cp:coreProperties>
</file>